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DCC8" w14:textId="50F40092" w:rsidR="00BC0B0D" w:rsidRDefault="00BC0B0D" w:rsidP="00BC0B0D">
      <w:pPr>
        <w:rPr>
          <w:rFonts w:ascii="Gudea" w:hAnsi="Gudea"/>
        </w:rPr>
      </w:pPr>
    </w:p>
    <w:p w14:paraId="43EF7513" w14:textId="22A3D408"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7FB981BC" wp14:editId="33EADFCE">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alt="&quot;&quot;"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CjEAIAACEEAAAOAAAAZHJzL2Uyb0RvYy54bWysU9tu2zAMfR+wfxD0vthJnLQx4hRd0g4D&#10;ugvQ7QNkWY6FSaImKbG7rx8lp2nQvRXzg0Ca1BF5eLi+GbQiR+G8BFPR6SSnRBgOjTT7iv78cf/h&#10;mhIfmGmYAiMq+iQ8vdm8f7fubSlm0IFqhCMIYnzZ24p2IdgyyzzvhGZ+AlYYDLbgNAvoun3WONYj&#10;ulbZLM+XWQ+usQ648B7/7sYg3ST8thU8fGtbLwJRFcXaQjpdOut4Zps1K/eO2U7yUxnsDVVoJg0+&#10;eobascDIwcl/oLTkDjy0YcJBZ9C2kovUA3YzzV9189gxK1IvSI63Z5r8/4PlX4+P9rsjYfgIAw4w&#10;NeHtA/BfnhjYdszsxa1z0HeCNfjwNFKW9daXp6uRal/6CFL3X6DBIbNDgAQ0tE5HVrBPgug4gKcz&#10;6WIIhOPP1ayYL1cLSjjGisV8vsrTWDJWPl+3zodPAjSJRkUdTjXBs+ODD7EcVj6nxNc8KNncS6WS&#10;4/b1VjlyZFEBu2Ja3KUOXqUpQ/qKXi1RUyMFb8DQMqCWldQVvc7jN6orEndnmqS0wKQabaxZmROT&#10;kbyRxjDUAyZGRmtonpBTB6NmccfQ6MD9oaRHvVbU/z4wJyhRnw3OZTUtiijw5BSLqxk67jJSX0aY&#10;4QhV0UDJaG5DWorImIFbnF8rE7MvlZxqRR0mwk87E4V+6aesl83e/AUAAP//AwBQSwMEFAAGAAgA&#10;AAAhAIlbCLneAAAACAEAAA8AAABkcnMvZG93bnJldi54bWxMj8FOwzAQRO9I/IO1SNyok4i2UYhT&#10;VUggKFIRhQ9w4iWJiNeRvW2Tv8c9wXF2VjNvys1kB3FCH3pHCtJFAgKpcaanVsHX59NdDiKwJqMH&#10;R6hgxgCb6vqq1IVxZ/rA04FbEUMoFFpBxzwWUoamQ6vDwo1I0ft23mqO0rfSeH2O4XaQWZKspNU9&#10;xYZOj/jYYfNzOFoFu+Tl2cy1f33b8vuU7fZhzuug1O3NtH0AwTjx3zNc8CM6VJGpdkcyQQwK4hBW&#10;sM5SEBf3frlcg6jjJV+lIKtS/h9Q/QIAAP//AwBQSwECLQAUAAYACAAAACEAtoM4kv4AAADhAQAA&#10;EwAAAAAAAAAAAAAAAAAAAAAAW0NvbnRlbnRfVHlwZXNdLnhtbFBLAQItABQABgAIAAAAIQA4/SH/&#10;1gAAAJQBAAALAAAAAAAAAAAAAAAAAC8BAABfcmVscy8ucmVsc1BLAQItABQABgAIAAAAIQBWhdCj&#10;EAIAACEEAAAOAAAAAAAAAAAAAAAAAC4CAABkcnMvZTJvRG9jLnhtbFBLAQItABQABgAIAAAAIQCJ&#10;Wwi53gAAAAgBAAAPAAAAAAAAAAAAAAAAAGoEAABkcnMvZG93bnJldi54bWxQSwUGAAAAAAQABADz&#10;AAAAdQUAAAAA&#10;" fillcolor="#0d414e" strokecolor="#0d414e" strokeweight="6pt">
                <v:textbox>
                  <w:txbxContent>
                    <w:p w14:paraId="39D460E0" w14:textId="77777777" w:rsidR="00CE2C74" w:rsidRPr="00E821D3" w:rsidRDefault="00CE2C74" w:rsidP="00CE2C74">
                      <w:pPr>
                        <w:rPr>
                          <w:rFonts w:ascii="Gudea" w:hAnsi="Gudea"/>
                          <w:color w:val="FFFFFF" w:themeColor="background1"/>
                          <w:sz w:val="56"/>
                          <w:szCs w:val="56"/>
                        </w:rPr>
                      </w:pPr>
                    </w:p>
                    <w:p w14:paraId="321FC6E5" w14:textId="77777777" w:rsidR="00CE2C74" w:rsidRPr="00E821D3" w:rsidRDefault="00CE2C74" w:rsidP="00CE2C74">
                      <w:pPr>
                        <w:rPr>
                          <w:rFonts w:ascii="Gudea" w:hAnsi="Gudea"/>
                          <w:color w:val="FFFFFF" w:themeColor="background1"/>
                          <w:sz w:val="56"/>
                          <w:szCs w:val="56"/>
                        </w:rPr>
                      </w:pPr>
                    </w:p>
                    <w:p w14:paraId="3F918C7C"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2B51DAEB" w14:textId="4DC734EE"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031277D8" w14:textId="1DC0201D" w:rsidR="00CE2C74" w:rsidRPr="00E821D3" w:rsidRDefault="00CE2C74" w:rsidP="00CE2C74">
                      <w:pPr>
                        <w:rPr>
                          <w:rFonts w:ascii="Gudea" w:hAnsi="Gudea"/>
                          <w:color w:val="FFFFFF" w:themeColor="background1"/>
                          <w:sz w:val="56"/>
                          <w:szCs w:val="56"/>
                        </w:rPr>
                      </w:pPr>
                    </w:p>
                    <w:p w14:paraId="6E9CB96C" w14:textId="77777777" w:rsidR="001E26E4" w:rsidRPr="00E821D3" w:rsidRDefault="001E26E4" w:rsidP="00CE2C74">
                      <w:pPr>
                        <w:rPr>
                          <w:rFonts w:ascii="Gudea" w:hAnsi="Gudea"/>
                          <w:color w:val="FFFFFF" w:themeColor="background1"/>
                          <w:sz w:val="56"/>
                          <w:szCs w:val="56"/>
                        </w:rPr>
                      </w:pPr>
                    </w:p>
                    <w:p w14:paraId="0028A951" w14:textId="1E635666" w:rsidR="00CE2C74" w:rsidRPr="00E821D3" w:rsidRDefault="001C6399" w:rsidP="00CE2C74">
                      <w:pPr>
                        <w:jc w:val="center"/>
                        <w:rPr>
                          <w:rFonts w:ascii="Gudea" w:hAnsi="Gudea"/>
                          <w:i/>
                          <w:iCs/>
                          <w:color w:val="FFFFFF" w:themeColor="background1"/>
                          <w:sz w:val="96"/>
                          <w:szCs w:val="96"/>
                        </w:rPr>
                      </w:pPr>
                      <w:r>
                        <w:rPr>
                          <w:rFonts w:ascii="Gudea" w:hAnsi="Gudea"/>
                          <w:i/>
                          <w:iCs/>
                          <w:color w:val="FFFFFF" w:themeColor="background1"/>
                          <w:sz w:val="96"/>
                          <w:szCs w:val="96"/>
                        </w:rPr>
                        <w:t>Fonden Eliteidræt Aarhus</w:t>
                      </w:r>
                    </w:p>
                  </w:txbxContent>
                </v:textbox>
                <w10:wrap type="square" anchorx="margin"/>
              </v:shape>
            </w:pict>
          </mc:Fallback>
        </mc:AlternateContent>
      </w:r>
      <w:r w:rsidR="00CE2C74">
        <w:rPr>
          <w:rFonts w:ascii="Gudea" w:hAnsi="Gudea"/>
        </w:rPr>
        <w:tab/>
      </w:r>
    </w:p>
    <w:p w14:paraId="3B2FA706" w14:textId="6BAB3882" w:rsidR="00BE27B0" w:rsidRDefault="00BE27B0">
      <w:pPr>
        <w:rPr>
          <w:rFonts w:ascii="Gudea" w:hAnsi="Gudea"/>
        </w:rPr>
      </w:pPr>
      <w:r>
        <w:rPr>
          <w:rFonts w:ascii="Gudea" w:hAnsi="Gudea"/>
        </w:rPr>
        <w:br w:type="page"/>
      </w:r>
    </w:p>
    <w:p w14:paraId="79F36F40"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173C9108" w14:textId="77777777" w:rsidR="00BE27B0" w:rsidRDefault="00BE27B0" w:rsidP="00CE2C74">
      <w:pPr>
        <w:tabs>
          <w:tab w:val="left" w:pos="5220"/>
        </w:tabs>
        <w:rPr>
          <w:rFonts w:ascii="Gudea" w:hAnsi="Gudea"/>
        </w:rPr>
      </w:pPr>
    </w:p>
    <w:p w14:paraId="0472B883"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3A9BB3BF" w14:textId="77777777" w:rsidR="00BE27B0" w:rsidRPr="00063BD1" w:rsidRDefault="00BE27B0" w:rsidP="00E44D33">
      <w:pPr>
        <w:tabs>
          <w:tab w:val="left" w:pos="5220"/>
        </w:tabs>
        <w:jc w:val="both"/>
        <w:rPr>
          <w:rFonts w:ascii="Gudea" w:hAnsi="Gudea"/>
          <w:color w:val="0D414E"/>
          <w:sz w:val="26"/>
          <w:szCs w:val="24"/>
        </w:rPr>
      </w:pPr>
    </w:p>
    <w:p w14:paraId="42FD6235"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4E76CDA0" w14:textId="77777777" w:rsidR="00BE27B0" w:rsidRPr="00063BD1" w:rsidRDefault="00BE27B0" w:rsidP="00E44D33">
      <w:pPr>
        <w:tabs>
          <w:tab w:val="left" w:pos="5220"/>
        </w:tabs>
        <w:jc w:val="both"/>
        <w:rPr>
          <w:rFonts w:ascii="Gudea" w:hAnsi="Gudea"/>
          <w:color w:val="0D414E"/>
          <w:sz w:val="26"/>
          <w:szCs w:val="24"/>
        </w:rPr>
      </w:pPr>
    </w:p>
    <w:p w14:paraId="69FD42C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5769BB1E" w14:textId="77777777" w:rsidR="00BE27B0" w:rsidRPr="00063BD1" w:rsidRDefault="00BE27B0" w:rsidP="00E44D33">
      <w:pPr>
        <w:tabs>
          <w:tab w:val="left" w:pos="5220"/>
        </w:tabs>
        <w:jc w:val="both"/>
        <w:rPr>
          <w:rFonts w:ascii="Gudea" w:hAnsi="Gudea"/>
          <w:color w:val="0D414E"/>
          <w:sz w:val="26"/>
          <w:szCs w:val="24"/>
        </w:rPr>
      </w:pPr>
    </w:p>
    <w:p w14:paraId="05E703B1" w14:textId="3C83EBC0"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3581AA99" w14:textId="37DECA7B" w:rsidR="00BE27B0" w:rsidRPr="00063BD1" w:rsidRDefault="00BE27B0" w:rsidP="00E44D33">
      <w:pPr>
        <w:tabs>
          <w:tab w:val="left" w:pos="5220"/>
        </w:tabs>
        <w:jc w:val="both"/>
        <w:rPr>
          <w:rFonts w:ascii="Gudea" w:hAnsi="Gudea"/>
          <w:color w:val="0D414E"/>
          <w:sz w:val="26"/>
          <w:szCs w:val="24"/>
        </w:rPr>
      </w:pPr>
    </w:p>
    <w:p w14:paraId="606731EE" w14:textId="09395CEA"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5AF90AE0" w14:textId="77777777" w:rsidR="00BE27B0" w:rsidRPr="00BE27B0" w:rsidRDefault="00BE27B0" w:rsidP="00E44D33">
      <w:pPr>
        <w:jc w:val="both"/>
        <w:rPr>
          <w:rFonts w:ascii="Gudea" w:hAnsi="Gudea"/>
        </w:rPr>
      </w:pPr>
    </w:p>
    <w:p w14:paraId="22CF59D7" w14:textId="77777777" w:rsidR="00BE27B0" w:rsidRPr="00BE27B0" w:rsidRDefault="00BE27B0" w:rsidP="00BE27B0">
      <w:pPr>
        <w:rPr>
          <w:rFonts w:ascii="Gudea" w:hAnsi="Gudea"/>
        </w:rPr>
      </w:pPr>
    </w:p>
    <w:p w14:paraId="766DDF13" w14:textId="77777777" w:rsidR="00BE27B0" w:rsidRPr="00BE27B0" w:rsidRDefault="00BE27B0" w:rsidP="00BE27B0">
      <w:pPr>
        <w:rPr>
          <w:rFonts w:ascii="Gudea" w:hAnsi="Gudea"/>
        </w:rPr>
      </w:pPr>
    </w:p>
    <w:p w14:paraId="41803121" w14:textId="77777777" w:rsidR="00BE27B0" w:rsidRPr="00BE27B0" w:rsidRDefault="00BE27B0" w:rsidP="00BE27B0">
      <w:pPr>
        <w:rPr>
          <w:rFonts w:ascii="Gudea" w:hAnsi="Gudea"/>
        </w:rPr>
      </w:pPr>
    </w:p>
    <w:p w14:paraId="35D80BD8" w14:textId="77777777" w:rsidR="00BE27B0" w:rsidRPr="00BE27B0" w:rsidRDefault="00BE27B0" w:rsidP="00BE27B0">
      <w:pPr>
        <w:rPr>
          <w:rFonts w:ascii="Gudea" w:hAnsi="Gudea"/>
        </w:rPr>
      </w:pPr>
    </w:p>
    <w:p w14:paraId="2A6DBC34" w14:textId="77777777" w:rsidR="00BE27B0" w:rsidRPr="00BE27B0" w:rsidRDefault="00BE27B0" w:rsidP="00BE27B0">
      <w:pPr>
        <w:rPr>
          <w:rFonts w:ascii="Gudea" w:hAnsi="Gudea"/>
        </w:rPr>
      </w:pPr>
    </w:p>
    <w:p w14:paraId="17BBE137" w14:textId="77777777" w:rsidR="00BE27B0" w:rsidRPr="00BE27B0" w:rsidRDefault="00BE27B0" w:rsidP="00BE27B0">
      <w:pPr>
        <w:rPr>
          <w:rFonts w:ascii="Gudea" w:hAnsi="Gudea"/>
        </w:rPr>
      </w:pPr>
    </w:p>
    <w:p w14:paraId="459BFF1B" w14:textId="4920E75A" w:rsidR="00BE27B0" w:rsidRPr="00BE27B0" w:rsidRDefault="00927BF4" w:rsidP="00927BF4">
      <w:pPr>
        <w:tabs>
          <w:tab w:val="left" w:pos="10980"/>
        </w:tabs>
        <w:rPr>
          <w:rFonts w:ascii="Gudea" w:hAnsi="Gudea"/>
        </w:rPr>
      </w:pPr>
      <w:r>
        <w:rPr>
          <w:rFonts w:ascii="Gudea" w:hAnsi="Gudea"/>
        </w:rPr>
        <w:tab/>
      </w:r>
    </w:p>
    <w:p w14:paraId="04EB66A8" w14:textId="77777777" w:rsidR="00BE27B0" w:rsidRDefault="00BE27B0" w:rsidP="00BE27B0">
      <w:pPr>
        <w:rPr>
          <w:rFonts w:ascii="Gudea" w:hAnsi="Gudea"/>
          <w:sz w:val="28"/>
          <w:szCs w:val="28"/>
        </w:rPr>
      </w:pPr>
    </w:p>
    <w:p w14:paraId="34BABCD0" w14:textId="77777777" w:rsidR="001C40CB" w:rsidRDefault="001C40CB" w:rsidP="00BE27B0">
      <w:pPr>
        <w:rPr>
          <w:rFonts w:ascii="Gudea" w:hAnsi="Gudea"/>
          <w:b/>
          <w:bCs/>
          <w:sz w:val="26"/>
          <w:szCs w:val="24"/>
        </w:rPr>
      </w:pPr>
    </w:p>
    <w:p w14:paraId="099535DA" w14:textId="77777777" w:rsidR="001C40CB" w:rsidRDefault="001C40CB" w:rsidP="00BE27B0">
      <w:pPr>
        <w:rPr>
          <w:rFonts w:ascii="Gudea" w:hAnsi="Gudea"/>
          <w:b/>
          <w:bCs/>
          <w:sz w:val="26"/>
          <w:szCs w:val="24"/>
        </w:rPr>
      </w:pPr>
    </w:p>
    <w:p w14:paraId="7819CC88" w14:textId="3ADDAD3E"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18CCBF25" w14:textId="7D96C548" w:rsidR="00BA6DA9" w:rsidRDefault="00BA6DA9" w:rsidP="00BE27B0">
      <w:pPr>
        <w:rPr>
          <w:rFonts w:ascii="Gudea" w:hAnsi="Gudea"/>
          <w:b/>
          <w:bCs/>
          <w:color w:val="0D414E"/>
          <w:sz w:val="30"/>
          <w:szCs w:val="28"/>
        </w:rPr>
      </w:pPr>
    </w:p>
    <w:p w14:paraId="1C1B46D5" w14:textId="77777777" w:rsidR="00BA6DA9" w:rsidRDefault="00BA6DA9" w:rsidP="00BE27B0">
      <w:pPr>
        <w:rPr>
          <w:rFonts w:ascii="Gudea" w:hAnsi="Gudea"/>
          <w:b/>
          <w:bCs/>
          <w:color w:val="0D414E"/>
          <w:sz w:val="30"/>
          <w:szCs w:val="28"/>
        </w:rPr>
      </w:pPr>
    </w:p>
    <w:p w14:paraId="77B83C71" w14:textId="1169EF13"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2805624D" w14:textId="77777777" w:rsidR="00743193" w:rsidRPr="00743193" w:rsidRDefault="00743193" w:rsidP="00762FF5">
      <w:pPr>
        <w:rPr>
          <w:rFonts w:ascii="Gudea" w:hAnsi="Gudea"/>
          <w:color w:val="0D414E"/>
          <w:sz w:val="10"/>
          <w:szCs w:val="8"/>
        </w:rPr>
      </w:pPr>
    </w:p>
    <w:p w14:paraId="069FD1F3" w14:textId="697DE048"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68112B82" w14:textId="106D3B2F" w:rsidR="00F75F8E" w:rsidRPr="00063BD1" w:rsidRDefault="00F75F8E" w:rsidP="00922161">
      <w:pPr>
        <w:jc w:val="both"/>
        <w:rPr>
          <w:rFonts w:ascii="Gudea" w:hAnsi="Gudea"/>
          <w:color w:val="0D414E"/>
          <w:sz w:val="26"/>
          <w:szCs w:val="22"/>
        </w:rPr>
      </w:pPr>
    </w:p>
    <w:p w14:paraId="3EF5A4AD" w14:textId="7330E845"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11062D6A" w14:textId="20DC5B01" w:rsidR="00C31BF1" w:rsidRPr="00063BD1" w:rsidRDefault="00C31BF1" w:rsidP="00922161">
      <w:pPr>
        <w:jc w:val="both"/>
        <w:rPr>
          <w:rFonts w:ascii="Gudea" w:hAnsi="Gudea"/>
          <w:color w:val="0D414E"/>
          <w:sz w:val="26"/>
          <w:szCs w:val="22"/>
        </w:rPr>
      </w:pPr>
    </w:p>
    <w:p w14:paraId="31271DD8" w14:textId="231D0E35"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339880C5" w14:textId="643651A6" w:rsidR="005D1AAE" w:rsidRPr="00063BD1" w:rsidRDefault="005D1AAE" w:rsidP="00922161">
      <w:pPr>
        <w:jc w:val="both"/>
        <w:rPr>
          <w:rFonts w:ascii="Gudea" w:hAnsi="Gudea"/>
          <w:color w:val="0D414E"/>
          <w:sz w:val="26"/>
          <w:szCs w:val="22"/>
        </w:rPr>
      </w:pPr>
    </w:p>
    <w:p w14:paraId="5BE31572" w14:textId="12A02E4E"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3FE7C471" w14:textId="6D70377E" w:rsidR="000D047F" w:rsidRPr="00063BD1" w:rsidRDefault="000D047F" w:rsidP="00922161">
      <w:pPr>
        <w:jc w:val="both"/>
        <w:rPr>
          <w:rFonts w:ascii="Gudea" w:hAnsi="Gudea"/>
          <w:color w:val="0D414E"/>
          <w:sz w:val="26"/>
          <w:szCs w:val="22"/>
        </w:rPr>
      </w:pPr>
    </w:p>
    <w:p w14:paraId="59FAD0A2" w14:textId="19697413"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509D74E4" wp14:editId="14BB9095">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03A83F61"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sidR="007E6AB4">
                              <w:rPr>
                                <w:rFonts w:ascii="Verdana" w:hAnsi="Verdana" w:cs="Arial"/>
                                <w:b/>
                                <w:szCs w:val="24"/>
                              </w:rPr>
                              <w:t>20</w:t>
                            </w:r>
                            <w:r>
                              <w:rPr>
                                <w:rFonts w:ascii="Verdana" w:hAnsi="Verdana" w:cs="Arial"/>
                                <w:b/>
                                <w:szCs w:val="24"/>
                              </w:rPr>
                              <w:t xml:space="preserve"> – 31/12 </w:t>
                            </w:r>
                            <w:r>
                              <w:rPr>
                                <w:rFonts w:ascii="Verdana" w:hAnsi="Verdana" w:cs="Arial"/>
                                <w:b/>
                                <w:szCs w:val="24"/>
                              </w:rPr>
                              <w:t>20</w:t>
                            </w:r>
                            <w:r w:rsidR="007E6AB4">
                              <w:rPr>
                                <w:rFonts w:ascii="Verdana" w:hAnsi="Verdana" w:cs="Arial"/>
                                <w:b/>
                                <w:szCs w:val="24"/>
                              </w:rPr>
                              <w:t>20</w:t>
                            </w:r>
                            <w:r w:rsidRPr="00FC21BA">
                              <w:rPr>
                                <w:rFonts w:ascii="Verdana" w:hAnsi="Verdan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D74E4" id="_x0000_s1027" type="#_x0000_t202" alt="&quot;&quot;"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RGEAIAACcEAAAOAAAAZHJzL2Uyb0RvYy54bWysU9tu2zAMfR+wfxD0vtjxkjUx4hRdugwD&#10;ugvQ7QNkSY6FyaImKbG7rx8lu2l2wR6G6UEgReqQPCQ310OnyUk6r8BUdD7LKZGGg1DmUNEvn/cv&#10;VpT4wIxgGoys6IP09Hr7/Nmmt6UsoAUtpCMIYnzZ24q2IdgyyzxvZcf8DKw0aGzAdSyg6g6ZcKxH&#10;9E5nRZ6/ynpwwjrg0nt8vR2NdJvwm0by8LFpvAxEVxRzC+l26a7jnW03rDw4ZlvFpzTYP2TRMWUw&#10;6BnqlgVGjk79BtUp7sBDE2YcugyaRnGZasBq5vkv1dy3zMpUC5Lj7Zkm//9g+YfTvf3kSBhew4AN&#10;TEV4ewf8qycGdi0zB3njHPStZAIDzyNlWW99OX2NVPvSR5C6fw8Cm8yOARLQ0LgusoJ1EkTHBjyc&#10;SZdDIBwf10WxviqWlHC0zfOXqwKVGIOVj9+t8+GthI5EoaIOu5rg2enOh9H10SVG86CV2Cutk+IO&#10;9U47cmI4Aft0JvSf3LQhPeayxNh/h8jT+RNEpwKOslZdRVdnJ1ZG3t4YkQYtMKVHGavTZiIycjey&#10;GIZ6IEpMLEdeaxAPyKyDcXJx01BowX2npMepraj/dmROUqLfGezOer5YxDFPymJ5VaDiLi31pYUZ&#10;jlAVDZSM4i6k1YgMGLjBLjYq8fuUyZQyTmPq0LQ5cdwv9eT1tN/bHwAAAP//AwBQSwMEFAAGAAgA&#10;AAAhACZg21vgAAAACQEAAA8AAABkcnMvZG93bnJldi54bWxMj81OwzAQhO9IvIO1lbgg6pA0/Unj&#10;VAgJBLdSEFzdeJtE2Otgu2l4e9wTPc7OauabcjMazQZ0vrMk4H6aAEOqreqoEfDx/nS3BOaDJCW1&#10;JRTwix421fVVKQtlT/SGwy40LIaQL6SANoS+4NzXLRrpp7ZHit7BOiNDlK7hyslTDDeap0ky50Z2&#10;FBta2eNji/X37mgELGcvw5d/zbaf9fygV+F2MTz/OCFuJuPDGljAMfw/wxk/okMVmfb2SMozLSAO&#10;CfGar1JgZ3uWZzmwvYAsTRfAq5JfLqj+AAAA//8DAFBLAQItABQABgAIAAAAIQC2gziS/gAAAOEB&#10;AAATAAAAAAAAAAAAAAAAAAAAAABbQ29udGVudF9UeXBlc10ueG1sUEsBAi0AFAAGAAgAAAAhADj9&#10;If/WAAAAlAEAAAsAAAAAAAAAAAAAAAAALwEAAF9yZWxzLy5yZWxzUEsBAi0AFAAGAAgAAAAhAMeu&#10;hEYQAgAAJwQAAA4AAAAAAAAAAAAAAAAALgIAAGRycy9lMm9Eb2MueG1sUEsBAi0AFAAGAAgAAAAh&#10;ACZg21vgAAAACQEAAA8AAAAAAAAAAAAAAAAAagQAAGRycy9kb3ducmV2LnhtbFBLBQYAAAAABAAE&#10;APMAAAB3BQAAAAA=&#10;">
                <v:textbox>
                  <w:txbxContent>
                    <w:p w14:paraId="067DC7F0" w14:textId="1CB64D34"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18BC87DA" w14:textId="2F2BED0C" w:rsidR="001A6130" w:rsidRPr="00063BD1" w:rsidRDefault="001A6130">
                      <w:pPr>
                        <w:rPr>
                          <w:rFonts w:ascii="Gudea" w:hAnsi="Gudea"/>
                          <w:color w:val="0D414E"/>
                          <w:sz w:val="26"/>
                          <w:szCs w:val="22"/>
                        </w:rPr>
                      </w:pPr>
                    </w:p>
                    <w:p w14:paraId="5E7E6908"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31A99F" w14:textId="03A83F61" w:rsidR="001A6130" w:rsidRPr="00063BD1" w:rsidRDefault="00D17011" w:rsidP="00D17011">
                      <w:pPr>
                        <w:rPr>
                          <w:rFonts w:ascii="Gudea" w:hAnsi="Gudea"/>
                          <w:b/>
                          <w:bCs/>
                          <w:i/>
                          <w:iCs/>
                          <w:color w:val="0D414E"/>
                          <w:sz w:val="26"/>
                          <w:szCs w:val="22"/>
                        </w:rPr>
                      </w:pPr>
                      <w:r w:rsidRPr="00FC21BA">
                        <w:rPr>
                          <w:rFonts w:ascii="Verdana" w:hAnsi="Verdana" w:cs="Arial"/>
                          <w:b/>
                          <w:szCs w:val="24"/>
                        </w:rPr>
                        <w:t>[</w:t>
                      </w:r>
                      <w:r>
                        <w:rPr>
                          <w:rFonts w:ascii="Verdana" w:hAnsi="Verdana" w:cs="Arial"/>
                          <w:b/>
                          <w:szCs w:val="24"/>
                        </w:rPr>
                        <w:t>1/1 20</w:t>
                      </w:r>
                      <w:r w:rsidR="007E6AB4">
                        <w:rPr>
                          <w:rFonts w:ascii="Verdana" w:hAnsi="Verdana" w:cs="Arial"/>
                          <w:b/>
                          <w:szCs w:val="24"/>
                        </w:rPr>
                        <w:t>20</w:t>
                      </w:r>
                      <w:r>
                        <w:rPr>
                          <w:rFonts w:ascii="Verdana" w:hAnsi="Verdana" w:cs="Arial"/>
                          <w:b/>
                          <w:szCs w:val="24"/>
                        </w:rPr>
                        <w:t xml:space="preserve"> – 31/12 </w:t>
                      </w:r>
                      <w:r>
                        <w:rPr>
                          <w:rFonts w:ascii="Verdana" w:hAnsi="Verdana" w:cs="Arial"/>
                          <w:b/>
                          <w:szCs w:val="24"/>
                        </w:rPr>
                        <w:t>20</w:t>
                      </w:r>
                      <w:r w:rsidR="007E6AB4">
                        <w:rPr>
                          <w:rFonts w:ascii="Verdana" w:hAnsi="Verdana" w:cs="Arial"/>
                          <w:b/>
                          <w:szCs w:val="24"/>
                        </w:rPr>
                        <w:t>20</w:t>
                      </w:r>
                      <w:r w:rsidRPr="00FC21BA">
                        <w:rPr>
                          <w:rFonts w:ascii="Verdana" w:hAnsi="Verdana"/>
                          <w:b/>
                        </w:rPr>
                        <w:t>]</w:t>
                      </w:r>
                    </w:p>
                  </w:txbxContent>
                </v:textbox>
                <w10:wrap type="square" anchorx="margin"/>
              </v:shape>
            </w:pict>
          </mc:Fallback>
        </mc:AlternateContent>
      </w:r>
    </w:p>
    <w:p w14:paraId="22531519" w14:textId="77777777" w:rsidR="00BA6DA9" w:rsidRPr="00BA6DA9" w:rsidRDefault="00BA6DA9" w:rsidP="00762FF5">
      <w:pPr>
        <w:rPr>
          <w:rFonts w:ascii="Gudea" w:hAnsi="Gudea"/>
          <w:sz w:val="18"/>
          <w:szCs w:val="14"/>
        </w:rPr>
      </w:pPr>
    </w:p>
    <w:p w14:paraId="2E10184C" w14:textId="77777777" w:rsidR="00E07F56" w:rsidRDefault="00E07F56" w:rsidP="00762FF5">
      <w:pPr>
        <w:rPr>
          <w:rFonts w:ascii="Gudea" w:hAnsi="Gudea"/>
          <w:sz w:val="32"/>
          <w:szCs w:val="32"/>
        </w:rPr>
      </w:pPr>
    </w:p>
    <w:p w14:paraId="080BBDF1" w14:textId="777C542D"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135D5DEB" w14:textId="68C8D40A" w:rsidR="000C5D9C" w:rsidRDefault="000C5D9C">
      <w:pPr>
        <w:rPr>
          <w:rFonts w:ascii="Gudea" w:hAnsi="Gudea"/>
          <w:b/>
          <w:bCs/>
          <w:color w:val="0D414E"/>
          <w:sz w:val="44"/>
          <w:szCs w:val="56"/>
        </w:rPr>
      </w:pPr>
      <w:r>
        <w:rPr>
          <w:rFonts w:ascii="Gudea" w:hAnsi="Gudea"/>
          <w:b/>
          <w:bCs/>
          <w:color w:val="0D414E"/>
          <w:sz w:val="44"/>
          <w:szCs w:val="56"/>
        </w:rPr>
        <w:br w:type="page"/>
      </w:r>
    </w:p>
    <w:p w14:paraId="4FB5C02B" w14:textId="7FE8C17B"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15DFDFE0" w14:textId="77777777" w:rsidR="00181FC9" w:rsidRPr="00077EEC" w:rsidRDefault="00181FC9" w:rsidP="007F6C52">
      <w:pPr>
        <w:rPr>
          <w:rFonts w:ascii="Gudea" w:hAnsi="Gudea"/>
          <w:color w:val="0D414E"/>
          <w:sz w:val="26"/>
          <w:szCs w:val="22"/>
        </w:rPr>
      </w:pPr>
    </w:p>
    <w:p w14:paraId="5398736B" w14:textId="1859FFC4"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11"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4B54E35C"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26463525" w14:textId="77777777" w:rsidTr="001A1698">
        <w:trPr>
          <w:trHeight w:val="411"/>
          <w:tblHeader/>
        </w:trPr>
        <w:tc>
          <w:tcPr>
            <w:tcW w:w="6232" w:type="dxa"/>
            <w:shd w:val="clear" w:color="auto" w:fill="0D414E"/>
            <w:vAlign w:val="center"/>
          </w:tcPr>
          <w:p w14:paraId="0577E82A" w14:textId="033CFA04"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64123DD1"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2ADA5B5C" w14:textId="3059F1A9"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15EFA97F"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303EC21A" w14:textId="77777777" w:rsidTr="001A1698">
        <w:trPr>
          <w:trHeight w:val="439"/>
          <w:tblHeader/>
        </w:trPr>
        <w:tc>
          <w:tcPr>
            <w:tcW w:w="6232" w:type="dxa"/>
            <w:shd w:val="clear" w:color="auto" w:fill="0D414E"/>
            <w:vAlign w:val="center"/>
          </w:tcPr>
          <w:p w14:paraId="6E719545" w14:textId="77777777" w:rsidR="00D674D9" w:rsidRDefault="00D674D9" w:rsidP="0027461E">
            <w:pPr>
              <w:jc w:val="center"/>
              <w:rPr>
                <w:rFonts w:ascii="Gudea" w:hAnsi="Gudea"/>
              </w:rPr>
            </w:pPr>
          </w:p>
        </w:tc>
        <w:tc>
          <w:tcPr>
            <w:tcW w:w="1844" w:type="dxa"/>
            <w:shd w:val="clear" w:color="auto" w:fill="0D414E"/>
            <w:vAlign w:val="center"/>
          </w:tcPr>
          <w:p w14:paraId="16786730"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241B5E4D"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48FD7CD9"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3FAB789C" w14:textId="77777777" w:rsidR="00D674D9" w:rsidRPr="007B799F" w:rsidRDefault="00D674D9" w:rsidP="0027461E">
            <w:pPr>
              <w:jc w:val="center"/>
              <w:rPr>
                <w:rFonts w:ascii="Gudea" w:hAnsi="Gudea"/>
                <w:b/>
                <w:sz w:val="20"/>
              </w:rPr>
            </w:pPr>
          </w:p>
        </w:tc>
      </w:tr>
      <w:tr w:rsidR="00C21039" w14:paraId="6112F6AC" w14:textId="77777777" w:rsidTr="001A1698">
        <w:trPr>
          <w:trHeight w:val="557"/>
        </w:trPr>
        <w:tc>
          <w:tcPr>
            <w:tcW w:w="14171" w:type="dxa"/>
            <w:gridSpan w:val="6"/>
            <w:shd w:val="clear" w:color="auto" w:fill="98B5C1"/>
            <w:vAlign w:val="center"/>
          </w:tcPr>
          <w:p w14:paraId="72A93995" w14:textId="0C8E74DC"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7B53EABB" w14:textId="77777777" w:rsidTr="008A7A86">
        <w:trPr>
          <w:trHeight w:val="1762"/>
        </w:trPr>
        <w:tc>
          <w:tcPr>
            <w:tcW w:w="6232" w:type="dxa"/>
            <w:shd w:val="clear" w:color="auto" w:fill="auto"/>
          </w:tcPr>
          <w:p w14:paraId="696DCD4B" w14:textId="77777777" w:rsidR="00337CEC" w:rsidRPr="00337CEC" w:rsidRDefault="00337CEC" w:rsidP="00AB0D87">
            <w:pPr>
              <w:spacing w:line="276" w:lineRule="auto"/>
              <w:jc w:val="both"/>
              <w:rPr>
                <w:rFonts w:ascii="Gudea" w:hAnsi="Gudea"/>
                <w:b/>
                <w:bCs/>
                <w:color w:val="0D414E"/>
                <w:sz w:val="8"/>
                <w:szCs w:val="8"/>
              </w:rPr>
            </w:pPr>
          </w:p>
          <w:p w14:paraId="2F8E13E7" w14:textId="737BA4CA"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4C87AF31" w14:textId="77777777" w:rsidR="00153448" w:rsidRDefault="00153448" w:rsidP="00153448">
            <w:pPr>
              <w:spacing w:before="60" w:after="60"/>
              <w:rPr>
                <w:rFonts w:ascii="Verdana" w:hAnsi="Verdana"/>
                <w:sz w:val="20"/>
              </w:rPr>
            </w:pPr>
            <w:r>
              <w:rPr>
                <w:rFonts w:ascii="Verdana" w:hAnsi="Verdana"/>
                <w:sz w:val="20"/>
              </w:rPr>
              <w:t>Ja, det er beskrevet i forretningsordenen. I pkt. 2.12 + 10.2.</w:t>
            </w:r>
          </w:p>
          <w:p w14:paraId="0C58CDEF" w14:textId="77777777" w:rsidR="00153448" w:rsidRDefault="00153448" w:rsidP="00153448">
            <w:pPr>
              <w:spacing w:before="60" w:after="60"/>
              <w:rPr>
                <w:rFonts w:ascii="Verdana" w:hAnsi="Verdana"/>
                <w:sz w:val="20"/>
              </w:rPr>
            </w:pPr>
            <w:r>
              <w:rPr>
                <w:rFonts w:ascii="Verdana" w:hAnsi="Verdana"/>
                <w:sz w:val="20"/>
              </w:rPr>
              <w:t>Generelt arbejdes der ud fra princippet om ”kommunal åbenhed”.</w:t>
            </w:r>
          </w:p>
          <w:p w14:paraId="45E10937" w14:textId="77777777" w:rsidR="00153448" w:rsidRDefault="00153448" w:rsidP="00153448">
            <w:pPr>
              <w:spacing w:before="60" w:after="60"/>
              <w:rPr>
                <w:rFonts w:ascii="Verdana" w:hAnsi="Verdana"/>
                <w:sz w:val="20"/>
              </w:rPr>
            </w:pPr>
            <w:r>
              <w:rPr>
                <w:rFonts w:ascii="Verdana" w:hAnsi="Verdana"/>
                <w:sz w:val="20"/>
              </w:rPr>
              <w:t>Bestyrelsesformanden udtaler sig generelt om emner af politisk karakter.</w:t>
            </w:r>
          </w:p>
          <w:p w14:paraId="789E6293" w14:textId="652B5014" w:rsidR="00C21039" w:rsidRPr="00C21039" w:rsidRDefault="00153448" w:rsidP="00153448">
            <w:pPr>
              <w:rPr>
                <w:rFonts w:ascii="Gudea" w:hAnsi="Gudea"/>
                <w:sz w:val="20"/>
              </w:rPr>
            </w:pPr>
            <w:r>
              <w:rPr>
                <w:rFonts w:ascii="Verdana" w:hAnsi="Verdana"/>
                <w:sz w:val="20"/>
              </w:rPr>
              <w:t>Den daglige leder udtaler sig om almene driftsmæssige emner.</w:t>
            </w:r>
          </w:p>
        </w:tc>
        <w:tc>
          <w:tcPr>
            <w:tcW w:w="2409" w:type="dxa"/>
            <w:gridSpan w:val="2"/>
            <w:tcBorders>
              <w:right w:val="single" w:sz="4" w:space="0" w:color="auto"/>
            </w:tcBorders>
          </w:tcPr>
          <w:p w14:paraId="6F38A38D"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AE745B1" w14:textId="77777777" w:rsidR="00C21039" w:rsidRPr="00C21039" w:rsidRDefault="00C21039" w:rsidP="0027461E">
            <w:pPr>
              <w:jc w:val="both"/>
              <w:rPr>
                <w:rFonts w:ascii="Gudea" w:hAnsi="Gudea"/>
                <w:sz w:val="20"/>
              </w:rPr>
            </w:pPr>
          </w:p>
        </w:tc>
        <w:tc>
          <w:tcPr>
            <w:tcW w:w="1418" w:type="dxa"/>
            <w:shd w:val="clear" w:color="auto" w:fill="0D414E"/>
          </w:tcPr>
          <w:p w14:paraId="45697FAD" w14:textId="77777777" w:rsidR="00C21039" w:rsidRPr="00C21039" w:rsidRDefault="00C21039" w:rsidP="0027461E">
            <w:pPr>
              <w:jc w:val="both"/>
              <w:rPr>
                <w:rFonts w:ascii="Gudea" w:hAnsi="Gudea"/>
                <w:sz w:val="20"/>
              </w:rPr>
            </w:pPr>
          </w:p>
        </w:tc>
      </w:tr>
      <w:tr w:rsidR="00C21039" w14:paraId="7067C287" w14:textId="77777777" w:rsidTr="001A1698">
        <w:trPr>
          <w:trHeight w:val="567"/>
        </w:trPr>
        <w:tc>
          <w:tcPr>
            <w:tcW w:w="14171" w:type="dxa"/>
            <w:gridSpan w:val="6"/>
            <w:shd w:val="clear" w:color="auto" w:fill="98B5C1"/>
            <w:vAlign w:val="center"/>
          </w:tcPr>
          <w:p w14:paraId="5D6114CC" w14:textId="5C56CF99"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24E5F560" w14:textId="77777777" w:rsidTr="001A1698">
        <w:trPr>
          <w:trHeight w:val="567"/>
        </w:trPr>
        <w:tc>
          <w:tcPr>
            <w:tcW w:w="12753" w:type="dxa"/>
            <w:gridSpan w:val="5"/>
            <w:tcBorders>
              <w:right w:val="nil"/>
            </w:tcBorders>
            <w:shd w:val="clear" w:color="auto" w:fill="CCD9DD"/>
            <w:vAlign w:val="center"/>
          </w:tcPr>
          <w:p w14:paraId="579EAEE0" w14:textId="6A5DAC5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7DA7AEB3" w14:textId="77777777" w:rsidR="007B799F" w:rsidRPr="005C3C13" w:rsidRDefault="007B799F" w:rsidP="0027461E">
            <w:pPr>
              <w:jc w:val="both"/>
              <w:rPr>
                <w:rFonts w:ascii="Gudea" w:hAnsi="Gudea"/>
                <w:sz w:val="22"/>
              </w:rPr>
            </w:pPr>
          </w:p>
        </w:tc>
      </w:tr>
      <w:tr w:rsidR="00D55D45" w14:paraId="25C27BE4" w14:textId="77777777" w:rsidTr="001A1698">
        <w:trPr>
          <w:trHeight w:val="1552"/>
        </w:trPr>
        <w:tc>
          <w:tcPr>
            <w:tcW w:w="6232" w:type="dxa"/>
            <w:tcBorders>
              <w:bottom w:val="single" w:sz="4" w:space="0" w:color="auto"/>
            </w:tcBorders>
            <w:shd w:val="clear" w:color="auto" w:fill="auto"/>
          </w:tcPr>
          <w:p w14:paraId="35AE1C2C" w14:textId="77777777" w:rsidR="00337CEC" w:rsidRPr="00337CEC" w:rsidRDefault="00337CEC" w:rsidP="00AB0D87">
            <w:pPr>
              <w:spacing w:line="276" w:lineRule="auto"/>
              <w:jc w:val="both"/>
              <w:rPr>
                <w:rFonts w:ascii="Gudea" w:hAnsi="Gudea"/>
                <w:b/>
                <w:bCs/>
                <w:color w:val="0D414E"/>
                <w:sz w:val="8"/>
                <w:szCs w:val="8"/>
              </w:rPr>
            </w:pPr>
          </w:p>
          <w:p w14:paraId="0A81047F"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25033087" w14:textId="2F5928DA"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43696165" w14:textId="77777777" w:rsidR="00A87660" w:rsidRDefault="00A87660" w:rsidP="00A87660">
            <w:pPr>
              <w:rPr>
                <w:rFonts w:ascii="Verdana" w:hAnsi="Verdana"/>
                <w:sz w:val="20"/>
              </w:rPr>
            </w:pPr>
            <w:r>
              <w:rPr>
                <w:rFonts w:ascii="Verdana" w:hAnsi="Verdana"/>
                <w:sz w:val="20"/>
              </w:rPr>
              <w:t>Ja, det er beskrevet i forretningsordenen. I pkt. 2.</w:t>
            </w:r>
          </w:p>
          <w:p w14:paraId="06697DEB" w14:textId="3CCA321D" w:rsidR="00C21039" w:rsidRPr="00C21039" w:rsidRDefault="00A87660" w:rsidP="00A87660">
            <w:pPr>
              <w:rPr>
                <w:rFonts w:ascii="Gudea" w:hAnsi="Gudea"/>
                <w:sz w:val="20"/>
              </w:rPr>
            </w:pPr>
            <w:r>
              <w:rPr>
                <w:rFonts w:ascii="Verdana" w:hAnsi="Verdana"/>
                <w:sz w:val="20"/>
              </w:rPr>
              <w:t>I forbindelse med det årlige strategiøde i september måned, er det fast rytme at gennemgå dette emne.</w:t>
            </w:r>
            <w:r>
              <w:rPr>
                <w:rFonts w:ascii="Verdana" w:hAnsi="Verdana"/>
                <w:sz w:val="20"/>
              </w:rPr>
              <w:br/>
              <w:t>Der er også nedsat et sportsudvalg, jvf. forretningsudvalgene, som varetager denne opgave.</w:t>
            </w:r>
          </w:p>
        </w:tc>
        <w:tc>
          <w:tcPr>
            <w:tcW w:w="2409" w:type="dxa"/>
            <w:gridSpan w:val="2"/>
            <w:tcBorders>
              <w:bottom w:val="single" w:sz="4" w:space="0" w:color="auto"/>
              <w:right w:val="single" w:sz="4" w:space="0" w:color="auto"/>
            </w:tcBorders>
          </w:tcPr>
          <w:p w14:paraId="18104FCE" w14:textId="101178A8"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44D2447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19A4128" w14:textId="77777777" w:rsidR="00C21039" w:rsidRPr="00C21039" w:rsidRDefault="00C21039" w:rsidP="0027461E">
            <w:pPr>
              <w:jc w:val="both"/>
              <w:rPr>
                <w:rFonts w:ascii="Gudea" w:hAnsi="Gudea"/>
                <w:sz w:val="20"/>
              </w:rPr>
            </w:pPr>
          </w:p>
        </w:tc>
      </w:tr>
      <w:tr w:rsidR="004718B5" w14:paraId="0BF72890" w14:textId="77777777" w:rsidTr="008A7A86">
        <w:trPr>
          <w:trHeight w:val="1489"/>
        </w:trPr>
        <w:tc>
          <w:tcPr>
            <w:tcW w:w="6232" w:type="dxa"/>
            <w:tcBorders>
              <w:bottom w:val="single" w:sz="4" w:space="0" w:color="auto"/>
            </w:tcBorders>
            <w:shd w:val="clear" w:color="auto" w:fill="auto"/>
          </w:tcPr>
          <w:p w14:paraId="39BF5B27" w14:textId="77777777" w:rsidR="00610B5D" w:rsidRPr="00610B5D" w:rsidRDefault="00610B5D" w:rsidP="00AB0D87">
            <w:pPr>
              <w:spacing w:line="276" w:lineRule="auto"/>
              <w:jc w:val="both"/>
              <w:rPr>
                <w:rFonts w:ascii="Gudea" w:hAnsi="Gudea"/>
                <w:b/>
                <w:bCs/>
                <w:color w:val="0D414E"/>
                <w:sz w:val="8"/>
                <w:szCs w:val="6"/>
              </w:rPr>
            </w:pPr>
          </w:p>
          <w:p w14:paraId="58475E4B" w14:textId="4E29EEEA"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44F94494" w14:textId="1284A4F9" w:rsidR="004718B5" w:rsidRPr="00C21039" w:rsidRDefault="00EA26F2" w:rsidP="00EA26F2">
            <w:pPr>
              <w:rPr>
                <w:rFonts w:ascii="Gudea" w:hAnsi="Gudea"/>
                <w:sz w:val="20"/>
              </w:rPr>
            </w:pPr>
            <w:r w:rsidRPr="00EA26F2">
              <w:rPr>
                <w:rFonts w:ascii="Verdana" w:hAnsi="Verdana"/>
                <w:sz w:val="20"/>
              </w:rPr>
              <w:t xml:space="preserve">Der afgives </w:t>
            </w:r>
            <w:proofErr w:type="spellStart"/>
            <w:r w:rsidRPr="00EA26F2">
              <w:rPr>
                <w:rFonts w:ascii="Verdana" w:hAnsi="Verdana"/>
                <w:sz w:val="20"/>
              </w:rPr>
              <w:t>kvartalts</w:t>
            </w:r>
            <w:proofErr w:type="spellEnd"/>
            <w:r w:rsidRPr="00EA26F2">
              <w:rPr>
                <w:rFonts w:ascii="Verdana" w:hAnsi="Verdana"/>
                <w:sz w:val="20"/>
              </w:rPr>
              <w:t xml:space="preserve">-status-regnskaber, med </w:t>
            </w:r>
            <w:proofErr w:type="spellStart"/>
            <w:r w:rsidRPr="00EA26F2">
              <w:rPr>
                <w:rFonts w:ascii="Verdana" w:hAnsi="Verdana"/>
                <w:sz w:val="20"/>
              </w:rPr>
              <w:t>opfølgelse</w:t>
            </w:r>
            <w:proofErr w:type="spellEnd"/>
            <w:r w:rsidRPr="00EA26F2">
              <w:rPr>
                <w:rFonts w:ascii="Verdana" w:hAnsi="Verdana"/>
                <w:sz w:val="20"/>
              </w:rPr>
              <w:t xml:space="preserve"> på dette område.</w:t>
            </w:r>
          </w:p>
        </w:tc>
        <w:tc>
          <w:tcPr>
            <w:tcW w:w="2409" w:type="dxa"/>
            <w:gridSpan w:val="2"/>
            <w:tcBorders>
              <w:bottom w:val="single" w:sz="4" w:space="0" w:color="auto"/>
              <w:right w:val="single" w:sz="4" w:space="0" w:color="auto"/>
            </w:tcBorders>
          </w:tcPr>
          <w:p w14:paraId="29C8B9BC"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148A1E37"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1B5F14F" w14:textId="77777777" w:rsidR="004718B5" w:rsidRPr="00C21039" w:rsidRDefault="004718B5" w:rsidP="0027461E">
            <w:pPr>
              <w:jc w:val="both"/>
              <w:rPr>
                <w:rFonts w:ascii="Gudea" w:hAnsi="Gudea"/>
                <w:sz w:val="20"/>
              </w:rPr>
            </w:pPr>
          </w:p>
        </w:tc>
      </w:tr>
      <w:tr w:rsidR="007B799F" w:rsidRPr="005C3C13" w14:paraId="4EE80019" w14:textId="77777777" w:rsidTr="001A1698">
        <w:trPr>
          <w:trHeight w:val="567"/>
        </w:trPr>
        <w:tc>
          <w:tcPr>
            <w:tcW w:w="12753" w:type="dxa"/>
            <w:gridSpan w:val="5"/>
            <w:tcBorders>
              <w:right w:val="nil"/>
            </w:tcBorders>
            <w:shd w:val="clear" w:color="auto" w:fill="CCD9DD"/>
            <w:vAlign w:val="center"/>
          </w:tcPr>
          <w:p w14:paraId="3117A3EF" w14:textId="0966F5DB"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72F8D3F3" w14:textId="77777777" w:rsidR="007B799F" w:rsidRPr="005C3C13" w:rsidRDefault="007B799F" w:rsidP="0027461E">
            <w:pPr>
              <w:jc w:val="both"/>
              <w:rPr>
                <w:rFonts w:ascii="Gudea" w:hAnsi="Gudea"/>
                <w:sz w:val="22"/>
              </w:rPr>
            </w:pPr>
          </w:p>
        </w:tc>
      </w:tr>
      <w:tr w:rsidR="00D55D45" w14:paraId="452FCC54" w14:textId="77777777" w:rsidTr="008A7A86">
        <w:trPr>
          <w:trHeight w:val="2250"/>
        </w:trPr>
        <w:tc>
          <w:tcPr>
            <w:tcW w:w="6232" w:type="dxa"/>
            <w:shd w:val="clear" w:color="auto" w:fill="auto"/>
          </w:tcPr>
          <w:p w14:paraId="76CDBF1F" w14:textId="77777777" w:rsidR="00610B5D" w:rsidRPr="00610B5D" w:rsidRDefault="00610B5D" w:rsidP="00E26E0A">
            <w:pPr>
              <w:spacing w:line="276" w:lineRule="auto"/>
              <w:jc w:val="both"/>
              <w:rPr>
                <w:rFonts w:ascii="Gudea" w:hAnsi="Gudea"/>
                <w:b/>
                <w:bCs/>
                <w:color w:val="0D414E"/>
                <w:sz w:val="8"/>
                <w:szCs w:val="8"/>
              </w:rPr>
            </w:pPr>
          </w:p>
          <w:p w14:paraId="35588B6F" w14:textId="27B21B4A"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20E9FEB0" w14:textId="2E710201" w:rsidR="00C21039" w:rsidRPr="00BF519D" w:rsidRDefault="00BF519D" w:rsidP="00BF519D">
            <w:pPr>
              <w:rPr>
                <w:rFonts w:ascii="Verdana" w:hAnsi="Verdana"/>
                <w:sz w:val="20"/>
              </w:rPr>
            </w:pPr>
            <w:r>
              <w:rPr>
                <w:rFonts w:ascii="Verdana" w:hAnsi="Verdana"/>
                <w:sz w:val="20"/>
              </w:rPr>
              <w:t>Ja, det er beskrevet i vedtægterne §4 stk.3, samt i forretningsordenen pkt. 3.</w:t>
            </w:r>
          </w:p>
        </w:tc>
        <w:tc>
          <w:tcPr>
            <w:tcW w:w="2409" w:type="dxa"/>
            <w:gridSpan w:val="2"/>
            <w:tcBorders>
              <w:bottom w:val="single" w:sz="4" w:space="0" w:color="auto"/>
              <w:right w:val="single" w:sz="4" w:space="0" w:color="auto"/>
            </w:tcBorders>
          </w:tcPr>
          <w:p w14:paraId="4BDC65DA"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613C33B6"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D98ACF3" w14:textId="77777777" w:rsidR="00C21039" w:rsidRPr="00C21039" w:rsidRDefault="00C21039" w:rsidP="0027461E">
            <w:pPr>
              <w:jc w:val="both"/>
              <w:rPr>
                <w:rFonts w:ascii="Gudea" w:hAnsi="Gudea"/>
                <w:sz w:val="20"/>
              </w:rPr>
            </w:pPr>
          </w:p>
        </w:tc>
      </w:tr>
      <w:tr w:rsidR="00D55D45" w14:paraId="4F61846D" w14:textId="77777777" w:rsidTr="00744CAC">
        <w:trPr>
          <w:trHeight w:val="3251"/>
        </w:trPr>
        <w:tc>
          <w:tcPr>
            <w:tcW w:w="6232" w:type="dxa"/>
            <w:tcBorders>
              <w:bottom w:val="single" w:sz="4" w:space="0" w:color="auto"/>
            </w:tcBorders>
          </w:tcPr>
          <w:p w14:paraId="7246F857" w14:textId="77777777" w:rsidR="00610B5D" w:rsidRPr="00610B5D" w:rsidRDefault="00610B5D" w:rsidP="00E26E0A">
            <w:pPr>
              <w:spacing w:line="276" w:lineRule="auto"/>
              <w:jc w:val="both"/>
              <w:rPr>
                <w:rFonts w:ascii="Gudea" w:hAnsi="Gudea"/>
                <w:b/>
                <w:bCs/>
                <w:color w:val="0D414E"/>
                <w:sz w:val="8"/>
                <w:szCs w:val="8"/>
              </w:rPr>
            </w:pPr>
          </w:p>
          <w:p w14:paraId="77E43101" w14:textId="4EF042FE"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55BE9B7D" w14:textId="0A6BF993"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0C5FF69C" w14:textId="55A1A48D" w:rsidR="00C21039" w:rsidRPr="00C21039" w:rsidRDefault="003032C6" w:rsidP="003032C6">
            <w:pPr>
              <w:rPr>
                <w:rFonts w:ascii="Gudea" w:hAnsi="Gudea"/>
                <w:sz w:val="20"/>
              </w:rPr>
            </w:pPr>
            <w:r>
              <w:rPr>
                <w:rFonts w:ascii="Verdana" w:hAnsi="Verdana"/>
                <w:sz w:val="20"/>
              </w:rPr>
              <w:t>Ja, det er beskrevet i forretningsordenen pkt. 4.5.</w:t>
            </w:r>
          </w:p>
        </w:tc>
        <w:tc>
          <w:tcPr>
            <w:tcW w:w="2409" w:type="dxa"/>
            <w:gridSpan w:val="2"/>
            <w:tcBorders>
              <w:bottom w:val="single" w:sz="4" w:space="0" w:color="auto"/>
              <w:right w:val="single" w:sz="4" w:space="0" w:color="auto"/>
            </w:tcBorders>
          </w:tcPr>
          <w:p w14:paraId="58847D3C" w14:textId="241EC291"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6DC55A55"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47277287" w14:textId="77777777" w:rsidR="00C21039" w:rsidRPr="00C21039" w:rsidRDefault="00C21039" w:rsidP="0027461E">
            <w:pPr>
              <w:jc w:val="both"/>
              <w:rPr>
                <w:rFonts w:ascii="Gudea" w:hAnsi="Gudea"/>
                <w:sz w:val="20"/>
              </w:rPr>
            </w:pPr>
          </w:p>
        </w:tc>
      </w:tr>
      <w:tr w:rsidR="007B799F" w:rsidRPr="005C3C13" w14:paraId="2E8A7518" w14:textId="77777777" w:rsidTr="001A1698">
        <w:trPr>
          <w:trHeight w:val="567"/>
        </w:trPr>
        <w:tc>
          <w:tcPr>
            <w:tcW w:w="12753" w:type="dxa"/>
            <w:gridSpan w:val="5"/>
            <w:tcBorders>
              <w:right w:val="nil"/>
            </w:tcBorders>
            <w:shd w:val="clear" w:color="auto" w:fill="CCD9DD"/>
            <w:vAlign w:val="center"/>
          </w:tcPr>
          <w:p w14:paraId="6B222C33" w14:textId="77777777" w:rsidR="007B799F" w:rsidRPr="005C3C13" w:rsidRDefault="007B799F" w:rsidP="0027461E">
            <w:pPr>
              <w:jc w:val="both"/>
              <w:rPr>
                <w:rFonts w:ascii="Gudea" w:hAnsi="Gudea"/>
                <w:sz w:val="22"/>
              </w:rPr>
            </w:pPr>
            <w:r w:rsidRPr="00606356">
              <w:rPr>
                <w:rFonts w:ascii="Gudea" w:hAnsi="Gudea"/>
                <w:b/>
                <w:color w:val="0D414E"/>
                <w:sz w:val="26"/>
                <w:szCs w:val="24"/>
              </w:rPr>
              <w:lastRenderedPageBreak/>
              <w:t>2.3 Bestyrelsens sammensætning og organisering</w:t>
            </w:r>
          </w:p>
        </w:tc>
        <w:tc>
          <w:tcPr>
            <w:tcW w:w="1418" w:type="dxa"/>
            <w:tcBorders>
              <w:left w:val="nil"/>
              <w:bottom w:val="single" w:sz="4" w:space="0" w:color="262626" w:themeColor="text1" w:themeTint="D9"/>
            </w:tcBorders>
            <w:shd w:val="clear" w:color="auto" w:fill="CCD9DD"/>
            <w:vAlign w:val="center"/>
          </w:tcPr>
          <w:p w14:paraId="1906A23B" w14:textId="77777777" w:rsidR="007B799F" w:rsidRPr="005C3C13" w:rsidRDefault="007B799F" w:rsidP="0027461E">
            <w:pPr>
              <w:jc w:val="both"/>
              <w:rPr>
                <w:rFonts w:ascii="Gudea" w:hAnsi="Gudea"/>
                <w:sz w:val="22"/>
              </w:rPr>
            </w:pPr>
          </w:p>
        </w:tc>
      </w:tr>
      <w:tr w:rsidR="00D55D45" w14:paraId="1BE3545D" w14:textId="77777777" w:rsidTr="008A7A86">
        <w:trPr>
          <w:trHeight w:val="1638"/>
        </w:trPr>
        <w:tc>
          <w:tcPr>
            <w:tcW w:w="6232" w:type="dxa"/>
          </w:tcPr>
          <w:p w14:paraId="19C8FF21" w14:textId="77777777" w:rsidR="00610B5D" w:rsidRPr="00610B5D" w:rsidRDefault="00610B5D" w:rsidP="00E26E0A">
            <w:pPr>
              <w:spacing w:line="276" w:lineRule="auto"/>
              <w:jc w:val="both"/>
              <w:rPr>
                <w:rFonts w:ascii="Gudea" w:hAnsi="Gudea"/>
                <w:b/>
                <w:bCs/>
                <w:color w:val="0D414E"/>
                <w:sz w:val="8"/>
                <w:szCs w:val="6"/>
              </w:rPr>
            </w:pPr>
          </w:p>
          <w:p w14:paraId="10BAF463" w14:textId="184E9579" w:rsidR="00C21039" w:rsidRPr="00C21039" w:rsidRDefault="00C21039" w:rsidP="00E26E0A">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løbende</w:t>
            </w:r>
            <w:r w:rsidR="00720CD6" w:rsidRPr="008A7A86">
              <w:rPr>
                <w:rFonts w:ascii="Gudea" w:hAnsi="Gudea"/>
                <w:color w:val="0D414E"/>
                <w:sz w:val="26"/>
                <w:szCs w:val="28"/>
              </w:rPr>
              <w:t xml:space="preserve"> og mindst hvert andet år</w:t>
            </w:r>
            <w:r w:rsidRPr="008A7A86">
              <w:rPr>
                <w:rFonts w:ascii="Gudea" w:hAnsi="Gudea"/>
                <w:color w:val="0D414E"/>
                <w:sz w:val="26"/>
                <w:szCs w:val="28"/>
              </w:rPr>
              <w:t xml:space="preserve"> vurderer og fastlægger, hvilke kompetencer bestyrelsen skal råde over for bedst muligt at kunne udføre </w:t>
            </w:r>
            <w:r w:rsidR="00554779" w:rsidRPr="008A7A86">
              <w:rPr>
                <w:rFonts w:ascii="Gudea" w:hAnsi="Gudea"/>
                <w:color w:val="0D414E"/>
                <w:sz w:val="26"/>
                <w:szCs w:val="28"/>
              </w:rPr>
              <w:t xml:space="preserve">de </w:t>
            </w:r>
            <w:r w:rsidRPr="008A7A86">
              <w:rPr>
                <w:rFonts w:ascii="Gudea" w:hAnsi="Gudea"/>
                <w:color w:val="0D414E"/>
                <w:sz w:val="26"/>
                <w:szCs w:val="28"/>
              </w:rPr>
              <w:t xml:space="preserve">opgaver, der påhviler bestyrelsen. </w:t>
            </w:r>
          </w:p>
        </w:tc>
        <w:tc>
          <w:tcPr>
            <w:tcW w:w="1844" w:type="dxa"/>
          </w:tcPr>
          <w:p w14:paraId="6F3E2532" w14:textId="32F1BAB7" w:rsidR="00C21039" w:rsidRPr="00C21039" w:rsidRDefault="006928BA" w:rsidP="006928BA">
            <w:pPr>
              <w:rPr>
                <w:rFonts w:ascii="Gudea" w:hAnsi="Gudea"/>
                <w:sz w:val="20"/>
              </w:rPr>
            </w:pPr>
            <w:r>
              <w:rPr>
                <w:rFonts w:ascii="Verdana" w:hAnsi="Verdana"/>
                <w:sz w:val="20"/>
              </w:rPr>
              <w:t>Ja, det er tilkendegivet i vedtægterne § 4 samt i bilag 1. Dertil kommer de særlige efterspurgte kompetencer i de forskellige forretningsudvalg.</w:t>
            </w:r>
          </w:p>
        </w:tc>
        <w:tc>
          <w:tcPr>
            <w:tcW w:w="2409" w:type="dxa"/>
            <w:gridSpan w:val="2"/>
            <w:tcBorders>
              <w:bottom w:val="single" w:sz="4" w:space="0" w:color="auto"/>
              <w:right w:val="single" w:sz="4" w:space="0" w:color="auto"/>
            </w:tcBorders>
          </w:tcPr>
          <w:p w14:paraId="3E25E7F3"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4F40279F"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6B3CF080" w14:textId="77777777" w:rsidR="00C21039" w:rsidRPr="00C21039" w:rsidRDefault="00C21039" w:rsidP="0027461E">
            <w:pPr>
              <w:jc w:val="both"/>
              <w:rPr>
                <w:rFonts w:ascii="Gudea" w:hAnsi="Gudea"/>
                <w:sz w:val="20"/>
              </w:rPr>
            </w:pPr>
          </w:p>
        </w:tc>
      </w:tr>
      <w:tr w:rsidR="00D55D45" w14:paraId="34B4356B" w14:textId="77777777" w:rsidTr="008A7A86">
        <w:trPr>
          <w:trHeight w:val="1676"/>
        </w:trPr>
        <w:tc>
          <w:tcPr>
            <w:tcW w:w="6232" w:type="dxa"/>
          </w:tcPr>
          <w:p w14:paraId="7F165F2F" w14:textId="77777777" w:rsidR="00610B5D" w:rsidRPr="00610B5D" w:rsidRDefault="00610B5D" w:rsidP="00E26E0A">
            <w:pPr>
              <w:spacing w:line="276" w:lineRule="auto"/>
              <w:jc w:val="both"/>
              <w:rPr>
                <w:rFonts w:ascii="Gudea" w:hAnsi="Gudea"/>
                <w:b/>
                <w:bCs/>
                <w:color w:val="0D414E"/>
                <w:sz w:val="8"/>
                <w:szCs w:val="6"/>
              </w:rPr>
            </w:pPr>
          </w:p>
          <w:p w14:paraId="7B2842FB" w14:textId="2C09628C" w:rsidR="0066298A" w:rsidRPr="00C21039" w:rsidRDefault="00C21039" w:rsidP="00E26E0A">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med respekt af en eventuel</w:t>
            </w:r>
            <w:r w:rsidR="0066298A" w:rsidRPr="008A7A86">
              <w:rPr>
                <w:rFonts w:ascii="Gudea" w:hAnsi="Gudea"/>
                <w:color w:val="0D414E"/>
                <w:sz w:val="26"/>
                <w:szCs w:val="28"/>
              </w:rPr>
              <w:t xml:space="preserve"> udpegningsret i vedtægten </w:t>
            </w:r>
            <w:r w:rsidR="00720CD6" w:rsidRPr="008A7A86">
              <w:rPr>
                <w:rFonts w:ascii="Gudea" w:hAnsi="Gudea"/>
                <w:color w:val="0D414E"/>
                <w:sz w:val="26"/>
                <w:szCs w:val="28"/>
              </w:rPr>
              <w:t>godkender</w:t>
            </w:r>
            <w:r w:rsidR="0066298A" w:rsidRPr="008A7A86">
              <w:rPr>
                <w:rFonts w:ascii="Gudea" w:hAnsi="Gudea"/>
                <w:color w:val="0D414E"/>
                <w:sz w:val="26"/>
                <w:szCs w:val="28"/>
              </w:rPr>
              <w:t xml:space="preserve"> en struktureret, grund</w:t>
            </w:r>
            <w:r w:rsidR="00D20E75" w:rsidRPr="008A7A86">
              <w:rPr>
                <w:rFonts w:ascii="Gudea" w:hAnsi="Gudea"/>
                <w:color w:val="0D414E"/>
                <w:sz w:val="26"/>
                <w:szCs w:val="28"/>
              </w:rPr>
              <w:t>ig</w:t>
            </w:r>
            <w:r w:rsidR="0066298A" w:rsidRPr="008A7A86">
              <w:rPr>
                <w:rFonts w:ascii="Gudea" w:hAnsi="Gudea"/>
                <w:color w:val="0D414E"/>
                <w:sz w:val="26"/>
                <w:szCs w:val="28"/>
              </w:rPr>
              <w:t xml:space="preserve"> og gennemskuelig proces for udvælgelse og indstilling af kandidater til bestyrelsen. </w:t>
            </w:r>
          </w:p>
        </w:tc>
        <w:tc>
          <w:tcPr>
            <w:tcW w:w="1844" w:type="dxa"/>
          </w:tcPr>
          <w:p w14:paraId="529E9729" w14:textId="1C3ED688"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2919E307" w14:textId="66977F62" w:rsidR="00C21039" w:rsidRPr="00C21039" w:rsidRDefault="00FA083F" w:rsidP="00FA083F">
            <w:pPr>
              <w:rPr>
                <w:rFonts w:ascii="Gudea" w:hAnsi="Gudea"/>
                <w:sz w:val="20"/>
              </w:rPr>
            </w:pPr>
            <w:r>
              <w:rPr>
                <w:rFonts w:ascii="Verdana" w:hAnsi="Verdana"/>
                <w:color w:val="000000"/>
                <w:sz w:val="20"/>
              </w:rPr>
              <w:t>I fonden udpeges medlemmerne af andre interesseorganisationer og samarbejdspartnere. Det er således ikke bestyrelsen selv der udpeger.</w:t>
            </w:r>
          </w:p>
        </w:tc>
        <w:tc>
          <w:tcPr>
            <w:tcW w:w="2268" w:type="dxa"/>
            <w:tcBorders>
              <w:left w:val="single" w:sz="4" w:space="0" w:color="auto"/>
            </w:tcBorders>
          </w:tcPr>
          <w:p w14:paraId="612742EE" w14:textId="259D46EB" w:rsidR="00C21039" w:rsidRPr="00C21039" w:rsidRDefault="00E34B70" w:rsidP="00E34B70">
            <w:pPr>
              <w:rPr>
                <w:rFonts w:ascii="Gudea" w:hAnsi="Gudea"/>
                <w:sz w:val="20"/>
              </w:rPr>
            </w:pPr>
            <w:r w:rsidRPr="00E34B70">
              <w:rPr>
                <w:rFonts w:ascii="Verdana" w:hAnsi="Verdana"/>
                <w:color w:val="000000"/>
                <w:sz w:val="20"/>
              </w:rPr>
              <w:t xml:space="preserve">Der afholdes demokratiske valg eller </w:t>
            </w:r>
            <w:proofErr w:type="spellStart"/>
            <w:r w:rsidRPr="00E34B70">
              <w:rPr>
                <w:rFonts w:ascii="Verdana" w:hAnsi="Verdana"/>
                <w:color w:val="000000"/>
                <w:sz w:val="20"/>
              </w:rPr>
              <w:t>interesseorg</w:t>
            </w:r>
            <w:proofErr w:type="spellEnd"/>
            <w:r w:rsidRPr="00E34B70">
              <w:rPr>
                <w:rFonts w:ascii="Verdana" w:hAnsi="Verdana"/>
                <w:color w:val="000000"/>
                <w:sz w:val="20"/>
              </w:rPr>
              <w:t>. Udpeger i henhold til vedtægten.</w:t>
            </w:r>
          </w:p>
        </w:tc>
        <w:tc>
          <w:tcPr>
            <w:tcW w:w="1418" w:type="dxa"/>
            <w:tcBorders>
              <w:top w:val="single" w:sz="4" w:space="0" w:color="262626" w:themeColor="text1" w:themeTint="D9"/>
              <w:bottom w:val="single" w:sz="4" w:space="0" w:color="262626" w:themeColor="text1" w:themeTint="D9"/>
            </w:tcBorders>
            <w:shd w:val="clear" w:color="auto" w:fill="0D414E"/>
          </w:tcPr>
          <w:p w14:paraId="3A3F97ED" w14:textId="77777777" w:rsidR="00C21039" w:rsidRPr="00C21039" w:rsidRDefault="00C21039" w:rsidP="0027461E">
            <w:pPr>
              <w:jc w:val="both"/>
              <w:rPr>
                <w:rFonts w:ascii="Gudea" w:hAnsi="Gudea"/>
                <w:sz w:val="20"/>
              </w:rPr>
            </w:pPr>
          </w:p>
        </w:tc>
      </w:tr>
      <w:tr w:rsidR="00D55D45" w14:paraId="1AC75EB5" w14:textId="77777777" w:rsidTr="00273F0C">
        <w:trPr>
          <w:trHeight w:val="567"/>
        </w:trPr>
        <w:tc>
          <w:tcPr>
            <w:tcW w:w="6232" w:type="dxa"/>
          </w:tcPr>
          <w:p w14:paraId="23B9DABE" w14:textId="77777777" w:rsidR="00610B5D" w:rsidRPr="00610B5D" w:rsidRDefault="00610B5D" w:rsidP="00E26E0A">
            <w:pPr>
              <w:spacing w:line="276" w:lineRule="auto"/>
              <w:jc w:val="both"/>
              <w:rPr>
                <w:rFonts w:ascii="Gudea" w:hAnsi="Gudea"/>
                <w:b/>
                <w:bCs/>
                <w:color w:val="0D414E"/>
                <w:sz w:val="8"/>
                <w:szCs w:val="8"/>
              </w:rPr>
            </w:pPr>
          </w:p>
          <w:p w14:paraId="563BB567" w14:textId="6732D247" w:rsidR="000B3878" w:rsidRPr="008A7A86" w:rsidRDefault="00070C75" w:rsidP="00E26E0A">
            <w:pPr>
              <w:spacing w:line="276" w:lineRule="auto"/>
              <w:jc w:val="both"/>
              <w:rPr>
                <w:rFonts w:ascii="Gudea" w:hAnsi="Gudea"/>
                <w:color w:val="0D414E"/>
                <w:szCs w:val="24"/>
              </w:rPr>
            </w:pPr>
            <w:r w:rsidRPr="008A7A86">
              <w:rPr>
                <w:rFonts w:ascii="Gudea" w:hAnsi="Gudea"/>
                <w:b/>
                <w:bCs/>
                <w:color w:val="0D414E"/>
                <w:sz w:val="26"/>
                <w:szCs w:val="28"/>
              </w:rPr>
              <w:t>2</w:t>
            </w:r>
            <w:r w:rsidR="0066298A" w:rsidRPr="008A7A86">
              <w:rPr>
                <w:rFonts w:ascii="Gudea" w:hAnsi="Gudea"/>
                <w:b/>
                <w:bCs/>
                <w:color w:val="0D414E"/>
                <w:sz w:val="26"/>
                <w:szCs w:val="28"/>
              </w:rPr>
              <w:t>.3.3</w:t>
            </w:r>
            <w:r w:rsidR="0066298A" w:rsidRPr="008A7A86">
              <w:rPr>
                <w:rFonts w:ascii="Gudea" w:hAnsi="Gudea"/>
                <w:color w:val="0D414E"/>
                <w:sz w:val="26"/>
                <w:szCs w:val="28"/>
              </w:rPr>
              <w:t xml:space="preserve"> Det </w:t>
            </w:r>
            <w:r w:rsidR="0066298A" w:rsidRPr="008A7A86">
              <w:rPr>
                <w:rFonts w:ascii="Gudea" w:hAnsi="Gudea"/>
                <w:b/>
                <w:color w:val="0D414E"/>
                <w:sz w:val="26"/>
                <w:szCs w:val="28"/>
              </w:rPr>
              <w:t>anbefales</w:t>
            </w:r>
            <w:r w:rsidR="0066298A" w:rsidRPr="008A7A86">
              <w:rPr>
                <w:rFonts w:ascii="Gudea" w:hAnsi="Gudea"/>
                <w:color w:val="0D414E"/>
                <w:sz w:val="26"/>
                <w:szCs w:val="28"/>
              </w:rPr>
              <w:t>,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til behovet for mangfoldighed i relation til bl</w:t>
            </w:r>
            <w:r w:rsidR="001B7932" w:rsidRPr="008A7A86">
              <w:rPr>
                <w:rFonts w:ascii="Gudea" w:hAnsi="Gudea"/>
                <w:color w:val="0D414E"/>
                <w:sz w:val="26"/>
                <w:szCs w:val="28"/>
              </w:rPr>
              <w:t>andt andet</w:t>
            </w:r>
            <w:r w:rsidR="0066298A" w:rsidRPr="008A7A86">
              <w:rPr>
                <w:rFonts w:ascii="Gudea" w:hAnsi="Gudea"/>
                <w:color w:val="0D414E"/>
                <w:sz w:val="26"/>
                <w:szCs w:val="28"/>
              </w:rPr>
              <w:t xml:space="preserve"> erhvervs- og uddelingserfaring, alder og køn. </w:t>
            </w:r>
          </w:p>
          <w:p w14:paraId="007206F1" w14:textId="77777777" w:rsidR="000B3878" w:rsidRPr="00C21039" w:rsidRDefault="000B3878" w:rsidP="0027461E">
            <w:pPr>
              <w:jc w:val="both"/>
              <w:rPr>
                <w:rFonts w:ascii="Gudea" w:hAnsi="Gudea"/>
                <w:sz w:val="20"/>
              </w:rPr>
            </w:pPr>
          </w:p>
        </w:tc>
        <w:tc>
          <w:tcPr>
            <w:tcW w:w="1844" w:type="dxa"/>
            <w:tcBorders>
              <w:bottom w:val="single" w:sz="4" w:space="0" w:color="auto"/>
            </w:tcBorders>
          </w:tcPr>
          <w:p w14:paraId="31810074" w14:textId="22EB6085"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3CFB1EC2" w14:textId="009B4A16" w:rsidR="00C21039" w:rsidRPr="00C21039" w:rsidRDefault="00AF704C" w:rsidP="00AF704C">
            <w:pPr>
              <w:rPr>
                <w:rFonts w:ascii="Gudea" w:hAnsi="Gudea"/>
                <w:sz w:val="20"/>
              </w:rPr>
            </w:pPr>
            <w:r>
              <w:rPr>
                <w:rFonts w:ascii="Verdana" w:hAnsi="Verdana"/>
                <w:color w:val="000000"/>
                <w:sz w:val="20"/>
              </w:rPr>
              <w:t>Jf. ovenstående, har fonden fulgt dette punkt.</w:t>
            </w:r>
          </w:p>
        </w:tc>
        <w:tc>
          <w:tcPr>
            <w:tcW w:w="2268" w:type="dxa"/>
            <w:tcBorders>
              <w:left w:val="single" w:sz="4" w:space="0" w:color="auto"/>
              <w:bottom w:val="single" w:sz="4" w:space="0" w:color="auto"/>
            </w:tcBorders>
          </w:tcPr>
          <w:p w14:paraId="08D7DBCC"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C17DEB3" w14:textId="77777777" w:rsidR="00C21039" w:rsidRPr="00C21039" w:rsidRDefault="00C21039" w:rsidP="0027461E">
            <w:pPr>
              <w:jc w:val="both"/>
              <w:rPr>
                <w:rFonts w:ascii="Gudea" w:hAnsi="Gudea"/>
                <w:sz w:val="20"/>
              </w:rPr>
            </w:pPr>
          </w:p>
        </w:tc>
      </w:tr>
      <w:tr w:rsidR="005C5818" w14:paraId="7B4784E1" w14:textId="77777777" w:rsidTr="00851F80">
        <w:trPr>
          <w:trHeight w:val="3148"/>
        </w:trPr>
        <w:tc>
          <w:tcPr>
            <w:tcW w:w="6232" w:type="dxa"/>
          </w:tcPr>
          <w:p w14:paraId="51E206FC" w14:textId="77777777" w:rsidR="00610B5D" w:rsidRPr="00610B5D" w:rsidRDefault="00610B5D" w:rsidP="00C13078">
            <w:pPr>
              <w:spacing w:line="276" w:lineRule="auto"/>
              <w:jc w:val="both"/>
              <w:rPr>
                <w:rFonts w:ascii="Gudea" w:hAnsi="Gudea"/>
                <w:b/>
                <w:bCs/>
                <w:color w:val="0D414E"/>
                <w:sz w:val="8"/>
                <w:szCs w:val="8"/>
              </w:rPr>
            </w:pPr>
          </w:p>
          <w:p w14:paraId="14FC44D9" w14:textId="4A70510C" w:rsidR="005C5818" w:rsidRPr="008A7A86" w:rsidRDefault="005C5818" w:rsidP="00C13078">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00251BB5"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19E62963"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2DCE7BA1"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65699FF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202A7D5B"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proofErr w:type="spellStart"/>
            <w:r w:rsidRPr="008A7A86">
              <w:rPr>
                <w:rFonts w:ascii="Gudea" w:hAnsi="Gudea"/>
                <w:color w:val="0D414E"/>
                <w:sz w:val="26"/>
                <w:szCs w:val="22"/>
              </w:rPr>
              <w:t>medlemmets</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eventuelle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særlige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kompetencer</w:t>
            </w:r>
            <w:proofErr w:type="spellEnd"/>
            <w:r w:rsidRPr="008A7A86">
              <w:rPr>
                <w:rFonts w:ascii="Gudea" w:hAnsi="Gudea"/>
                <w:color w:val="0D414E"/>
                <w:sz w:val="26"/>
                <w:szCs w:val="22"/>
              </w:rPr>
              <w:t>,</w:t>
            </w:r>
          </w:p>
          <w:p w14:paraId="1917CF7F"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418000E5"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66AF2F2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 xml:space="preserve">hvilke medlemmer, der er udpeget af myndigheder/tilskudsyder m.v., og </w:t>
            </w:r>
          </w:p>
          <w:p w14:paraId="080E8035" w14:textId="77777777" w:rsidR="00251BB5"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74CB8D01" w14:textId="24CDD91A" w:rsidR="00417F1B" w:rsidRPr="00417F1B" w:rsidRDefault="00417F1B" w:rsidP="00417F1B">
            <w:pPr>
              <w:rPr>
                <w:sz w:val="14"/>
                <w:szCs w:val="10"/>
                <w:lang w:eastAsia="en-US"/>
              </w:rPr>
            </w:pPr>
          </w:p>
        </w:tc>
        <w:tc>
          <w:tcPr>
            <w:tcW w:w="1844" w:type="dxa"/>
            <w:tcBorders>
              <w:bottom w:val="single" w:sz="4" w:space="0" w:color="auto"/>
            </w:tcBorders>
          </w:tcPr>
          <w:p w14:paraId="3FED54ED" w14:textId="3E760DC7" w:rsidR="005C5818" w:rsidRPr="00C21039" w:rsidRDefault="00A9306E" w:rsidP="00A9306E">
            <w:pPr>
              <w:rPr>
                <w:rFonts w:ascii="Gudea" w:hAnsi="Gudea"/>
                <w:sz w:val="20"/>
              </w:rPr>
            </w:pPr>
            <w:r>
              <w:rPr>
                <w:rFonts w:ascii="Verdana" w:hAnsi="Verdana"/>
                <w:color w:val="000000"/>
                <w:sz w:val="20"/>
              </w:rPr>
              <w:t>Fonden har udarbejdet disse punkter.</w:t>
            </w:r>
          </w:p>
        </w:tc>
        <w:tc>
          <w:tcPr>
            <w:tcW w:w="2409" w:type="dxa"/>
            <w:gridSpan w:val="2"/>
            <w:tcBorders>
              <w:bottom w:val="single" w:sz="4" w:space="0" w:color="auto"/>
              <w:right w:val="single" w:sz="4" w:space="0" w:color="auto"/>
            </w:tcBorders>
          </w:tcPr>
          <w:p w14:paraId="0EDFE1CA" w14:textId="77777777" w:rsidR="005C5818" w:rsidRPr="00C21039" w:rsidRDefault="005C5818" w:rsidP="0027461E">
            <w:pPr>
              <w:jc w:val="both"/>
              <w:rPr>
                <w:rFonts w:ascii="Gudea" w:hAnsi="Gudea"/>
                <w:sz w:val="20"/>
              </w:rPr>
            </w:pPr>
          </w:p>
        </w:tc>
        <w:tc>
          <w:tcPr>
            <w:tcW w:w="2268" w:type="dxa"/>
            <w:tcBorders>
              <w:left w:val="single" w:sz="4" w:space="0" w:color="auto"/>
              <w:bottom w:val="single" w:sz="4" w:space="0" w:color="auto"/>
            </w:tcBorders>
          </w:tcPr>
          <w:p w14:paraId="3DE5C61E" w14:textId="77777777" w:rsidR="005C5818" w:rsidRPr="00C21039" w:rsidRDefault="005C5818"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2EE4E88" w14:textId="77777777" w:rsidR="005C5818" w:rsidRPr="00C21039" w:rsidRDefault="005C5818" w:rsidP="0027461E">
            <w:pPr>
              <w:jc w:val="both"/>
              <w:rPr>
                <w:rFonts w:ascii="Gudea" w:hAnsi="Gudea"/>
                <w:sz w:val="20"/>
              </w:rPr>
            </w:pPr>
          </w:p>
        </w:tc>
      </w:tr>
      <w:tr w:rsidR="00484BEC" w14:paraId="5E84B52D" w14:textId="77777777" w:rsidTr="008A7A86">
        <w:trPr>
          <w:trHeight w:val="1914"/>
        </w:trPr>
        <w:tc>
          <w:tcPr>
            <w:tcW w:w="6232" w:type="dxa"/>
          </w:tcPr>
          <w:p w14:paraId="41D60450" w14:textId="77777777" w:rsidR="00610B5D" w:rsidRPr="00610B5D" w:rsidRDefault="00610B5D" w:rsidP="00C13078">
            <w:pPr>
              <w:pStyle w:val="Brdtekst"/>
              <w:spacing w:line="276" w:lineRule="auto"/>
              <w:rPr>
                <w:rFonts w:ascii="Gudea" w:hAnsi="Gudea"/>
                <w:b/>
                <w:bCs/>
                <w:color w:val="0D414E"/>
                <w:sz w:val="8"/>
                <w:szCs w:val="4"/>
                <w:lang w:val="da-DK"/>
              </w:rPr>
            </w:pPr>
          </w:p>
          <w:p w14:paraId="15B2ECE7" w14:textId="70A9EC2A" w:rsidR="00484BEC" w:rsidRPr="00C13078" w:rsidRDefault="00C13078" w:rsidP="00C13078">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0C371856" w14:textId="21C641E8" w:rsidR="00484BEC" w:rsidRPr="00C21039" w:rsidRDefault="00336C37" w:rsidP="0027461E">
            <w:pPr>
              <w:jc w:val="both"/>
              <w:rPr>
                <w:rFonts w:ascii="Gudea" w:hAnsi="Gudea"/>
                <w:sz w:val="20"/>
              </w:rPr>
            </w:pPr>
            <w:r>
              <w:rPr>
                <w:rFonts w:ascii="Verdana" w:hAnsi="Verdana"/>
                <w:color w:val="000000"/>
                <w:sz w:val="20"/>
              </w:rPr>
              <w:t>Dette er ikke en mulighed.</w:t>
            </w:r>
          </w:p>
        </w:tc>
        <w:tc>
          <w:tcPr>
            <w:tcW w:w="2409" w:type="dxa"/>
            <w:gridSpan w:val="2"/>
            <w:tcBorders>
              <w:bottom w:val="single" w:sz="4" w:space="0" w:color="auto"/>
              <w:right w:val="single" w:sz="4" w:space="0" w:color="auto"/>
            </w:tcBorders>
          </w:tcPr>
          <w:p w14:paraId="38AD5A7C" w14:textId="77777777" w:rsidR="00484BEC" w:rsidRPr="00C21039" w:rsidRDefault="00484BEC" w:rsidP="0027461E">
            <w:pPr>
              <w:jc w:val="both"/>
              <w:rPr>
                <w:rFonts w:ascii="Gudea" w:hAnsi="Gudea"/>
                <w:sz w:val="20"/>
              </w:rPr>
            </w:pPr>
          </w:p>
        </w:tc>
        <w:tc>
          <w:tcPr>
            <w:tcW w:w="2268" w:type="dxa"/>
            <w:tcBorders>
              <w:left w:val="single" w:sz="4" w:space="0" w:color="auto"/>
              <w:bottom w:val="single" w:sz="4" w:space="0" w:color="auto"/>
            </w:tcBorders>
          </w:tcPr>
          <w:p w14:paraId="6D750635" w14:textId="77777777" w:rsidR="00484BEC" w:rsidRPr="00C21039" w:rsidRDefault="00484BEC"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3D7C242D" w14:textId="77777777" w:rsidR="00484BEC" w:rsidRPr="00C21039" w:rsidRDefault="00484BEC" w:rsidP="0027461E">
            <w:pPr>
              <w:jc w:val="both"/>
              <w:rPr>
                <w:rFonts w:ascii="Gudea" w:hAnsi="Gudea"/>
                <w:sz w:val="20"/>
              </w:rPr>
            </w:pPr>
          </w:p>
        </w:tc>
      </w:tr>
      <w:tr w:rsidR="00AF0062" w14:paraId="755715DE" w14:textId="77777777" w:rsidTr="00273F0C">
        <w:trPr>
          <w:trHeight w:val="567"/>
        </w:trPr>
        <w:tc>
          <w:tcPr>
            <w:tcW w:w="6232" w:type="dxa"/>
            <w:tcBorders>
              <w:right w:val="nil"/>
            </w:tcBorders>
            <w:shd w:val="clear" w:color="auto" w:fill="CCD9DD"/>
          </w:tcPr>
          <w:p w14:paraId="41C261AF" w14:textId="0C049944" w:rsidR="00AF0062" w:rsidRPr="00D125F6" w:rsidRDefault="00273F0C" w:rsidP="00273F0C">
            <w:pPr>
              <w:spacing w:before="120" w:line="276" w:lineRule="auto"/>
              <w:jc w:val="both"/>
              <w:rPr>
                <w:rFonts w:ascii="Gudea" w:hAnsi="Gudea"/>
                <w:b/>
                <w:bCs/>
                <w:color w:val="0D414E"/>
                <w:sz w:val="22"/>
                <w:szCs w:val="22"/>
              </w:rPr>
            </w:pPr>
            <w:r w:rsidRPr="00606356">
              <w:rPr>
                <w:rFonts w:ascii="Gudea" w:hAnsi="Gudea"/>
                <w:b/>
                <w:color w:val="0D414E"/>
                <w:sz w:val="26"/>
                <w:szCs w:val="24"/>
              </w:rPr>
              <w:t>2.</w:t>
            </w:r>
            <w:r w:rsidR="00285241" w:rsidRPr="00606356">
              <w:rPr>
                <w:rFonts w:ascii="Gudea" w:hAnsi="Gudea"/>
                <w:b/>
                <w:color w:val="0D414E"/>
                <w:sz w:val="26"/>
                <w:szCs w:val="24"/>
              </w:rPr>
              <w:t>4</w:t>
            </w:r>
            <w:r w:rsidRPr="00606356">
              <w:rPr>
                <w:rFonts w:ascii="Gudea" w:hAnsi="Gudea"/>
                <w:b/>
                <w:color w:val="0D414E"/>
                <w:sz w:val="26"/>
                <w:szCs w:val="24"/>
              </w:rPr>
              <w:t xml:space="preserve"> </w:t>
            </w:r>
            <w:r w:rsidR="00285241" w:rsidRPr="00606356">
              <w:rPr>
                <w:rFonts w:ascii="Gudea" w:hAnsi="Gudea"/>
                <w:b/>
                <w:color w:val="0D414E"/>
                <w:sz w:val="26"/>
                <w:szCs w:val="24"/>
              </w:rPr>
              <w:t>Uafhængighed</w:t>
            </w:r>
          </w:p>
        </w:tc>
        <w:tc>
          <w:tcPr>
            <w:tcW w:w="1844" w:type="dxa"/>
            <w:tcBorders>
              <w:left w:val="nil"/>
              <w:right w:val="nil"/>
            </w:tcBorders>
            <w:shd w:val="clear" w:color="auto" w:fill="CCD9DD"/>
          </w:tcPr>
          <w:p w14:paraId="592A5E59" w14:textId="77777777" w:rsidR="00AF0062" w:rsidRPr="00C21039" w:rsidRDefault="00AF0062" w:rsidP="0027461E">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49726C20" w14:textId="77777777" w:rsidR="00AF0062" w:rsidRPr="00C21039" w:rsidRDefault="00AF0062" w:rsidP="0027461E">
            <w:pPr>
              <w:jc w:val="both"/>
              <w:rPr>
                <w:rFonts w:ascii="Gudea" w:hAnsi="Gudea"/>
                <w:sz w:val="20"/>
              </w:rPr>
            </w:pPr>
          </w:p>
        </w:tc>
        <w:tc>
          <w:tcPr>
            <w:tcW w:w="2268" w:type="dxa"/>
            <w:tcBorders>
              <w:left w:val="nil"/>
              <w:right w:val="nil"/>
            </w:tcBorders>
            <w:shd w:val="clear" w:color="auto" w:fill="CCD9DD"/>
          </w:tcPr>
          <w:p w14:paraId="45AAE1C4" w14:textId="77777777" w:rsidR="00AF0062" w:rsidRPr="00C21039" w:rsidRDefault="00AF0062" w:rsidP="0027461E">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16E05A1D" w14:textId="77777777" w:rsidR="00AF0062" w:rsidRDefault="00AF0062" w:rsidP="0027461E">
            <w:pPr>
              <w:jc w:val="both"/>
              <w:rPr>
                <w:rFonts w:ascii="Gudea" w:hAnsi="Gudea"/>
                <w:sz w:val="20"/>
              </w:rPr>
            </w:pPr>
          </w:p>
          <w:p w14:paraId="47A3E363" w14:textId="477CB95F" w:rsidR="00273F0C" w:rsidRPr="00273F0C" w:rsidRDefault="00273F0C" w:rsidP="00273F0C">
            <w:pPr>
              <w:rPr>
                <w:rFonts w:ascii="Gudea" w:hAnsi="Gudea"/>
                <w:sz w:val="20"/>
              </w:rPr>
            </w:pPr>
          </w:p>
        </w:tc>
      </w:tr>
      <w:tr w:rsidR="005B2433" w14:paraId="3ECE773D" w14:textId="77777777" w:rsidTr="007D7779">
        <w:trPr>
          <w:trHeight w:val="3899"/>
        </w:trPr>
        <w:tc>
          <w:tcPr>
            <w:tcW w:w="6232" w:type="dxa"/>
          </w:tcPr>
          <w:p w14:paraId="13F31CF0" w14:textId="77777777" w:rsidR="00610B5D" w:rsidRPr="00610B5D" w:rsidRDefault="00610B5D" w:rsidP="005B2433">
            <w:pPr>
              <w:spacing w:line="276" w:lineRule="auto"/>
              <w:jc w:val="both"/>
              <w:rPr>
                <w:rFonts w:ascii="Gudea" w:hAnsi="Gudea"/>
                <w:b/>
                <w:bCs/>
                <w:color w:val="0D414E"/>
                <w:sz w:val="12"/>
                <w:szCs w:val="12"/>
              </w:rPr>
            </w:pPr>
          </w:p>
          <w:p w14:paraId="5309D279" w14:textId="21429FA4" w:rsidR="005B2433" w:rsidRPr="008A7A86" w:rsidRDefault="005B2433" w:rsidP="005B2433">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3ADC5DB3" w14:textId="77777777" w:rsidR="005B2433" w:rsidRPr="008A7A86" w:rsidRDefault="005B2433" w:rsidP="005B2433">
            <w:pPr>
              <w:spacing w:line="276" w:lineRule="auto"/>
              <w:jc w:val="both"/>
              <w:rPr>
                <w:rFonts w:ascii="Gudea" w:hAnsi="Gudea"/>
                <w:color w:val="0D414E"/>
                <w:sz w:val="20"/>
              </w:rPr>
            </w:pPr>
          </w:p>
          <w:p w14:paraId="33036B87"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2540E92B" w14:textId="77777777" w:rsidR="005B2433" w:rsidRPr="008A7A86" w:rsidRDefault="005B2433" w:rsidP="005B2433">
            <w:pPr>
              <w:spacing w:line="276" w:lineRule="auto"/>
              <w:jc w:val="both"/>
              <w:rPr>
                <w:rFonts w:ascii="Gudea" w:hAnsi="Gudea"/>
                <w:color w:val="0D414E"/>
                <w:sz w:val="12"/>
                <w:szCs w:val="12"/>
              </w:rPr>
            </w:pPr>
          </w:p>
          <w:p w14:paraId="463DE94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502ABCF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129FC206"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15E30A71" w14:textId="77777777" w:rsidR="005B2433" w:rsidRPr="008A7A86" w:rsidRDefault="005B2433" w:rsidP="005B2433">
            <w:pPr>
              <w:spacing w:line="276" w:lineRule="auto"/>
              <w:jc w:val="both"/>
              <w:rPr>
                <w:rFonts w:ascii="Gudea" w:hAnsi="Gudea"/>
                <w:color w:val="0D414E"/>
                <w:sz w:val="18"/>
                <w:szCs w:val="18"/>
              </w:rPr>
            </w:pPr>
          </w:p>
          <w:p w14:paraId="4214559C"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2125233B" w14:textId="77777777" w:rsidR="005B2433" w:rsidRPr="008A7A86" w:rsidRDefault="005B2433" w:rsidP="005B2433">
            <w:pPr>
              <w:spacing w:line="276" w:lineRule="auto"/>
              <w:jc w:val="both"/>
              <w:rPr>
                <w:rFonts w:ascii="Gudea" w:hAnsi="Gudea"/>
                <w:color w:val="0D414E"/>
                <w:sz w:val="26"/>
                <w:szCs w:val="28"/>
              </w:rPr>
            </w:pPr>
          </w:p>
          <w:p w14:paraId="28C554F1"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eller inden for de seneste tre år har været, medlem af direktionen eller ledende medarbejder i fonden eller en væsentlig dattervirksomhed eller associeret virksomhed til fonden,</w:t>
            </w:r>
          </w:p>
          <w:p w14:paraId="35587878"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 seneste fem år har modtaget større vederlag, herunder uddelinger eller andre ydelser, fra fonden/koncernen eller en dattervirksomhed eller associeret virksomhed til fonden i anden egenskab end som medlem af fondens bestyrelse eller direktion,</w:t>
            </w:r>
          </w:p>
          <w:p w14:paraId="1E12620C"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424820A7"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4198CA5" w14:textId="791A537A" w:rsidR="005B2433"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02015CF2" w14:textId="77777777" w:rsidR="00417F1B" w:rsidRPr="00417F1B" w:rsidRDefault="00417F1B" w:rsidP="00417F1B">
            <w:pPr>
              <w:spacing w:line="276" w:lineRule="auto"/>
              <w:ind w:left="170"/>
              <w:jc w:val="both"/>
              <w:rPr>
                <w:rFonts w:ascii="Gudea" w:hAnsi="Gudea"/>
                <w:color w:val="0D414E"/>
                <w:sz w:val="14"/>
                <w:szCs w:val="14"/>
              </w:rPr>
            </w:pPr>
          </w:p>
          <w:p w14:paraId="433577F3"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i nær familie med eller på en anden måde står personer, som ikke betragtes som uafhængige, særligt nær,</w:t>
            </w:r>
          </w:p>
          <w:p w14:paraId="6C47C00C" w14:textId="77777777" w:rsidR="007427DA"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6FA2F031" w14:textId="39682B09" w:rsidR="005B2433" w:rsidRPr="007427DA" w:rsidRDefault="005B2433" w:rsidP="005B2433">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er ledelsesmedlem i en organisation, en anden fond eller lignende, der modtaget eller gentagne gange inden for de seneste fem år har modtaget væsentlige donationer fra fonden.</w:t>
            </w:r>
            <w:r w:rsidRPr="00A2085B">
              <w:rPr>
                <w:rFonts w:ascii="Gudea" w:hAnsi="Gudea"/>
                <w:color w:val="0D414E"/>
                <w:sz w:val="22"/>
                <w:szCs w:val="22"/>
              </w:rPr>
              <w:t xml:space="preserve"> </w:t>
            </w:r>
          </w:p>
        </w:tc>
        <w:tc>
          <w:tcPr>
            <w:tcW w:w="1844" w:type="dxa"/>
          </w:tcPr>
          <w:p w14:paraId="58E576D8" w14:textId="17FF5047" w:rsidR="005B2433" w:rsidRPr="00C21039" w:rsidRDefault="00A25605" w:rsidP="00765CE8">
            <w:pPr>
              <w:rPr>
                <w:rFonts w:ascii="Gudea" w:hAnsi="Gudea"/>
                <w:sz w:val="20"/>
              </w:rPr>
            </w:pPr>
            <w:r>
              <w:rPr>
                <w:rFonts w:ascii="Verdana" w:hAnsi="Verdana"/>
                <w:color w:val="000000"/>
                <w:sz w:val="20"/>
              </w:rPr>
              <w:lastRenderedPageBreak/>
              <w:t>Fonden følger denne anbefaling.</w:t>
            </w:r>
          </w:p>
        </w:tc>
        <w:tc>
          <w:tcPr>
            <w:tcW w:w="2409" w:type="dxa"/>
            <w:gridSpan w:val="2"/>
            <w:tcBorders>
              <w:bottom w:val="single" w:sz="4" w:space="0" w:color="auto"/>
              <w:right w:val="single" w:sz="4" w:space="0" w:color="auto"/>
            </w:tcBorders>
          </w:tcPr>
          <w:p w14:paraId="760D1DCC"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703D1970"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305C11D" w14:textId="77777777" w:rsidR="005B2433" w:rsidRPr="00C21039" w:rsidRDefault="005B2433" w:rsidP="005B2433">
            <w:pPr>
              <w:jc w:val="both"/>
              <w:rPr>
                <w:rFonts w:ascii="Gudea" w:hAnsi="Gudea"/>
                <w:sz w:val="20"/>
              </w:rPr>
            </w:pPr>
          </w:p>
        </w:tc>
      </w:tr>
      <w:tr w:rsidR="005B2433" w:rsidRPr="005C3C13" w14:paraId="7E9E9199" w14:textId="77777777" w:rsidTr="001A1698">
        <w:trPr>
          <w:trHeight w:val="567"/>
        </w:trPr>
        <w:tc>
          <w:tcPr>
            <w:tcW w:w="12753" w:type="dxa"/>
            <w:gridSpan w:val="5"/>
            <w:tcBorders>
              <w:right w:val="nil"/>
            </w:tcBorders>
            <w:shd w:val="clear" w:color="auto" w:fill="CCD9DD"/>
            <w:vAlign w:val="center"/>
          </w:tcPr>
          <w:p w14:paraId="5CBC2167" w14:textId="77777777" w:rsidR="005B2433" w:rsidRPr="005C3C13" w:rsidRDefault="005B2433" w:rsidP="005B2433">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385A6341" w14:textId="77777777" w:rsidR="005B2433" w:rsidRPr="005C3C13" w:rsidRDefault="005B2433" w:rsidP="005B2433">
            <w:pPr>
              <w:jc w:val="both"/>
              <w:rPr>
                <w:rFonts w:ascii="Gudea" w:hAnsi="Gudea"/>
                <w:sz w:val="22"/>
              </w:rPr>
            </w:pPr>
          </w:p>
        </w:tc>
      </w:tr>
      <w:tr w:rsidR="005B2433" w14:paraId="5D458BD7" w14:textId="77777777" w:rsidTr="008A7A86">
        <w:trPr>
          <w:trHeight w:val="1409"/>
        </w:trPr>
        <w:tc>
          <w:tcPr>
            <w:tcW w:w="6232" w:type="dxa"/>
          </w:tcPr>
          <w:p w14:paraId="23C2B9A6" w14:textId="77777777" w:rsidR="00610B5D" w:rsidRPr="00610B5D" w:rsidRDefault="00610B5D" w:rsidP="00E2045B">
            <w:pPr>
              <w:spacing w:line="276" w:lineRule="auto"/>
              <w:jc w:val="both"/>
              <w:rPr>
                <w:rFonts w:ascii="Gudea" w:hAnsi="Gudea"/>
                <w:b/>
                <w:bCs/>
                <w:color w:val="0D414E"/>
                <w:sz w:val="8"/>
                <w:szCs w:val="8"/>
              </w:rPr>
            </w:pPr>
          </w:p>
          <w:p w14:paraId="24448462" w14:textId="628502A1" w:rsidR="005B2433" w:rsidRPr="00E2045B" w:rsidRDefault="005B2433" w:rsidP="00E2045B">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7397695B" w14:textId="38A05967" w:rsidR="005B2433" w:rsidRPr="00C21039" w:rsidRDefault="0065438D" w:rsidP="0065438D">
            <w:pPr>
              <w:rPr>
                <w:rFonts w:ascii="Gudea" w:hAnsi="Gudea"/>
                <w:sz w:val="20"/>
              </w:rPr>
            </w:pPr>
            <w:r>
              <w:rPr>
                <w:rFonts w:ascii="Verdana" w:hAnsi="Verdana"/>
                <w:color w:val="000000"/>
                <w:sz w:val="20"/>
              </w:rPr>
              <w:t>§4 i vedtægterne. 4 år er valgperioden. Med mindre vedkomne er udpeget som erstatning i denne periode.</w:t>
            </w:r>
          </w:p>
        </w:tc>
        <w:tc>
          <w:tcPr>
            <w:tcW w:w="2409" w:type="dxa"/>
            <w:gridSpan w:val="2"/>
            <w:tcBorders>
              <w:bottom w:val="single" w:sz="4" w:space="0" w:color="auto"/>
              <w:right w:val="single" w:sz="4" w:space="0" w:color="auto"/>
            </w:tcBorders>
          </w:tcPr>
          <w:p w14:paraId="12B1CC63"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49FA9D0C"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E67C035" w14:textId="77777777" w:rsidR="005B2433" w:rsidRPr="00C21039" w:rsidRDefault="005B2433" w:rsidP="005B2433">
            <w:pPr>
              <w:jc w:val="both"/>
              <w:rPr>
                <w:rFonts w:ascii="Gudea" w:hAnsi="Gudea"/>
                <w:sz w:val="20"/>
              </w:rPr>
            </w:pPr>
          </w:p>
        </w:tc>
      </w:tr>
      <w:tr w:rsidR="005B2433" w14:paraId="577572EA" w14:textId="77777777" w:rsidTr="007D7779">
        <w:trPr>
          <w:trHeight w:val="1680"/>
        </w:trPr>
        <w:tc>
          <w:tcPr>
            <w:tcW w:w="6232" w:type="dxa"/>
            <w:tcBorders>
              <w:bottom w:val="single" w:sz="4" w:space="0" w:color="auto"/>
            </w:tcBorders>
          </w:tcPr>
          <w:p w14:paraId="6D098510" w14:textId="77777777" w:rsidR="00610B5D" w:rsidRPr="00610B5D" w:rsidRDefault="00610B5D" w:rsidP="005B2433">
            <w:pPr>
              <w:spacing w:line="276" w:lineRule="auto"/>
              <w:jc w:val="both"/>
              <w:rPr>
                <w:rFonts w:ascii="Gudea" w:hAnsi="Gudea"/>
                <w:b/>
                <w:bCs/>
                <w:color w:val="0D414E"/>
                <w:sz w:val="8"/>
                <w:szCs w:val="6"/>
              </w:rPr>
            </w:pPr>
          </w:p>
          <w:p w14:paraId="5012A819" w14:textId="7D408BA8" w:rsidR="008E0DB4" w:rsidRPr="00C21039" w:rsidRDefault="005B2433" w:rsidP="005B2433">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76C79D9F" w14:textId="5598FC2B" w:rsidR="005B2433" w:rsidRPr="00C21039" w:rsidRDefault="0001238E" w:rsidP="0001238E">
            <w:pPr>
              <w:rPr>
                <w:rFonts w:ascii="Gudea" w:hAnsi="Gudea"/>
                <w:sz w:val="20"/>
              </w:rPr>
            </w:pPr>
            <w:r>
              <w:rPr>
                <w:rFonts w:ascii="Verdana" w:hAnsi="Verdana"/>
                <w:color w:val="000000"/>
                <w:sz w:val="20"/>
              </w:rPr>
              <w:t>Pkt. 2.13 i forretningsorden. Aldersgrænsen er 70 år.</w:t>
            </w:r>
          </w:p>
        </w:tc>
        <w:tc>
          <w:tcPr>
            <w:tcW w:w="2409" w:type="dxa"/>
            <w:gridSpan w:val="2"/>
            <w:tcBorders>
              <w:bottom w:val="single" w:sz="4" w:space="0" w:color="auto"/>
              <w:right w:val="single" w:sz="4" w:space="0" w:color="auto"/>
            </w:tcBorders>
          </w:tcPr>
          <w:p w14:paraId="62F6D518" w14:textId="383E9FAE" w:rsidR="005B2433" w:rsidRPr="00C21039" w:rsidRDefault="005B2433" w:rsidP="005B2433">
            <w:pPr>
              <w:jc w:val="both"/>
              <w:rPr>
                <w:rFonts w:ascii="Gudea" w:hAnsi="Gudea"/>
                <w:sz w:val="20"/>
              </w:rPr>
            </w:pPr>
          </w:p>
        </w:tc>
        <w:tc>
          <w:tcPr>
            <w:tcW w:w="2268" w:type="dxa"/>
            <w:tcBorders>
              <w:left w:val="single" w:sz="4" w:space="0" w:color="auto"/>
              <w:bottom w:val="single" w:sz="4" w:space="0" w:color="auto"/>
            </w:tcBorders>
          </w:tcPr>
          <w:p w14:paraId="3259EF22"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F37B708" w14:textId="77777777" w:rsidR="005B2433" w:rsidRPr="00C21039" w:rsidRDefault="005B2433" w:rsidP="005B2433">
            <w:pPr>
              <w:jc w:val="both"/>
              <w:rPr>
                <w:rFonts w:ascii="Gudea" w:hAnsi="Gudea"/>
                <w:sz w:val="20"/>
              </w:rPr>
            </w:pPr>
          </w:p>
        </w:tc>
      </w:tr>
      <w:tr w:rsidR="005B2433" w:rsidRPr="005C3C13" w14:paraId="1F1401F7" w14:textId="77777777" w:rsidTr="001A1698">
        <w:trPr>
          <w:trHeight w:val="567"/>
        </w:trPr>
        <w:tc>
          <w:tcPr>
            <w:tcW w:w="12753" w:type="dxa"/>
            <w:gridSpan w:val="5"/>
            <w:tcBorders>
              <w:right w:val="nil"/>
            </w:tcBorders>
            <w:shd w:val="clear" w:color="auto" w:fill="CCD9DD"/>
            <w:vAlign w:val="center"/>
          </w:tcPr>
          <w:p w14:paraId="4FC66003" w14:textId="77777777" w:rsidR="005B2433" w:rsidRPr="00D55D45" w:rsidRDefault="005B2433" w:rsidP="005B2433">
            <w:pPr>
              <w:jc w:val="both"/>
              <w:rPr>
                <w:rFonts w:ascii="Gudea" w:hAnsi="Gudea"/>
                <w:color w:val="0D414E"/>
                <w:sz w:val="22"/>
              </w:rPr>
            </w:pPr>
            <w:r w:rsidRPr="00606356">
              <w:rPr>
                <w:rFonts w:ascii="Gudea" w:hAnsi="Gudea"/>
                <w:b/>
                <w:color w:val="0D414E"/>
                <w:sz w:val="26"/>
                <w:szCs w:val="24"/>
              </w:rPr>
              <w:lastRenderedPageBreak/>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085E273D" w14:textId="77777777" w:rsidR="005B2433" w:rsidRPr="005C3C13" w:rsidRDefault="005B2433" w:rsidP="005B2433">
            <w:pPr>
              <w:jc w:val="both"/>
              <w:rPr>
                <w:rFonts w:ascii="Gudea" w:hAnsi="Gudea"/>
                <w:sz w:val="22"/>
              </w:rPr>
            </w:pPr>
          </w:p>
        </w:tc>
      </w:tr>
      <w:tr w:rsidR="005B2433" w14:paraId="65DFF8C5" w14:textId="77777777" w:rsidTr="001714F8">
        <w:trPr>
          <w:trHeight w:val="1631"/>
        </w:trPr>
        <w:tc>
          <w:tcPr>
            <w:tcW w:w="6232" w:type="dxa"/>
          </w:tcPr>
          <w:p w14:paraId="65E43840" w14:textId="77777777" w:rsidR="001714F8" w:rsidRPr="001714F8" w:rsidRDefault="001714F8" w:rsidP="005B2433">
            <w:pPr>
              <w:spacing w:line="276" w:lineRule="auto"/>
              <w:jc w:val="both"/>
              <w:rPr>
                <w:rFonts w:ascii="Gudea" w:hAnsi="Gudea"/>
                <w:b/>
                <w:bCs/>
                <w:color w:val="0D414E"/>
                <w:sz w:val="8"/>
                <w:szCs w:val="4"/>
              </w:rPr>
            </w:pPr>
          </w:p>
          <w:p w14:paraId="5D9C1A0D" w14:textId="187F476F"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48A03CD7" w14:textId="1FE9D4A0"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464ACEF5" w14:textId="1A652797" w:rsidR="005B2433" w:rsidRPr="00C21039" w:rsidRDefault="00C56BAC" w:rsidP="00C56BAC">
            <w:pPr>
              <w:rPr>
                <w:rFonts w:ascii="Gudea" w:hAnsi="Gudea"/>
                <w:sz w:val="20"/>
              </w:rPr>
            </w:pPr>
            <w:r w:rsidRPr="009E5EB7">
              <w:rPr>
                <w:rFonts w:ascii="Verdana" w:hAnsi="Verdana"/>
                <w:color w:val="000000"/>
                <w:sz w:val="20"/>
              </w:rPr>
              <w:t xml:space="preserve">Bestyrelsen fastlægger en evalueringsprocedure, hvor bestyrelsen, formanden og de individuelle medlemmers bidrag og resultater evalueres, og at resultatet drøftes i bestyrelsen. Dette gøres som udgangspunkt hvert 4. år. </w:t>
            </w:r>
            <w:r>
              <w:rPr>
                <w:rFonts w:ascii="Verdana" w:hAnsi="Verdana"/>
                <w:color w:val="000000"/>
                <w:sz w:val="20"/>
              </w:rPr>
              <w:t>Jf. forretningsorden pkt. 4.7.</w:t>
            </w:r>
          </w:p>
        </w:tc>
        <w:tc>
          <w:tcPr>
            <w:tcW w:w="2268" w:type="dxa"/>
            <w:tcBorders>
              <w:left w:val="single" w:sz="4" w:space="0" w:color="auto"/>
            </w:tcBorders>
          </w:tcPr>
          <w:p w14:paraId="3EF27874" w14:textId="5A2E6A21" w:rsidR="005B2433" w:rsidRPr="00C21039" w:rsidRDefault="00C56BAC" w:rsidP="005B2433">
            <w:pPr>
              <w:jc w:val="both"/>
              <w:rPr>
                <w:rFonts w:ascii="Gudea" w:hAnsi="Gudea"/>
                <w:sz w:val="20"/>
              </w:rPr>
            </w:pPr>
            <w:r w:rsidRPr="00DE1EF2">
              <w:rPr>
                <w:rFonts w:ascii="Verdana" w:hAnsi="Verdana"/>
                <w:color w:val="000000"/>
                <w:sz w:val="20"/>
              </w:rPr>
              <w:t>Arbejdet foretages i samarbejde med Aarhus Kommune</w:t>
            </w:r>
          </w:p>
        </w:tc>
        <w:tc>
          <w:tcPr>
            <w:tcW w:w="1418" w:type="dxa"/>
            <w:shd w:val="clear" w:color="auto" w:fill="0D414E"/>
          </w:tcPr>
          <w:p w14:paraId="7703BFBF" w14:textId="77777777" w:rsidR="005B2433" w:rsidRPr="00C21039" w:rsidRDefault="005B2433" w:rsidP="005B2433">
            <w:pPr>
              <w:jc w:val="both"/>
              <w:rPr>
                <w:rFonts w:ascii="Gudea" w:hAnsi="Gudea"/>
                <w:sz w:val="20"/>
              </w:rPr>
            </w:pPr>
          </w:p>
        </w:tc>
      </w:tr>
      <w:tr w:rsidR="004B263B" w14:paraId="51A2A4C2" w14:textId="77777777" w:rsidTr="008E0DB4">
        <w:trPr>
          <w:trHeight w:val="1406"/>
        </w:trPr>
        <w:tc>
          <w:tcPr>
            <w:tcW w:w="6232" w:type="dxa"/>
          </w:tcPr>
          <w:p w14:paraId="10341E9D" w14:textId="77777777" w:rsidR="004B263B" w:rsidRPr="001714F8" w:rsidRDefault="004B263B" w:rsidP="004B263B">
            <w:pPr>
              <w:spacing w:line="276" w:lineRule="auto"/>
              <w:jc w:val="both"/>
              <w:rPr>
                <w:rFonts w:ascii="Gudea" w:hAnsi="Gudea"/>
                <w:b/>
                <w:bCs/>
                <w:color w:val="0D414E"/>
                <w:sz w:val="8"/>
                <w:szCs w:val="6"/>
              </w:rPr>
            </w:pPr>
          </w:p>
          <w:p w14:paraId="5C579D78" w14:textId="7F4EE1A9" w:rsidR="004B263B" w:rsidRPr="00C21039" w:rsidRDefault="004B263B" w:rsidP="004B263B">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2840E0C2" w14:textId="7D9EE761" w:rsidR="004B263B" w:rsidRPr="00C21039" w:rsidRDefault="004B263B" w:rsidP="004B263B">
            <w:pPr>
              <w:rPr>
                <w:rFonts w:ascii="Gudea" w:hAnsi="Gudea"/>
                <w:sz w:val="20"/>
              </w:rPr>
            </w:pPr>
            <w:r>
              <w:rPr>
                <w:rFonts w:ascii="Verdana" w:hAnsi="Verdana"/>
                <w:color w:val="000000"/>
                <w:sz w:val="20"/>
              </w:rPr>
              <w:t>Dette foregår i samarbejde mellem bestyrelsesformanden og Aarhus Kommune v. Forvaltningschefen. Jf. forretningsorden pkt. 4.6.</w:t>
            </w:r>
          </w:p>
        </w:tc>
        <w:tc>
          <w:tcPr>
            <w:tcW w:w="2409" w:type="dxa"/>
            <w:gridSpan w:val="2"/>
            <w:tcBorders>
              <w:right w:val="single" w:sz="4" w:space="0" w:color="auto"/>
            </w:tcBorders>
          </w:tcPr>
          <w:p w14:paraId="5BFB35FC" w14:textId="77777777" w:rsidR="004B263B" w:rsidRPr="00C21039" w:rsidRDefault="004B263B" w:rsidP="004B263B">
            <w:pPr>
              <w:jc w:val="both"/>
              <w:rPr>
                <w:rFonts w:ascii="Gudea" w:hAnsi="Gudea"/>
                <w:sz w:val="20"/>
              </w:rPr>
            </w:pPr>
          </w:p>
        </w:tc>
        <w:tc>
          <w:tcPr>
            <w:tcW w:w="2268" w:type="dxa"/>
            <w:tcBorders>
              <w:left w:val="single" w:sz="4" w:space="0" w:color="auto"/>
            </w:tcBorders>
          </w:tcPr>
          <w:p w14:paraId="4F52F7A3" w14:textId="77777777" w:rsidR="004B263B" w:rsidRPr="00C21039" w:rsidRDefault="004B263B" w:rsidP="004B263B">
            <w:pPr>
              <w:jc w:val="both"/>
              <w:rPr>
                <w:rFonts w:ascii="Gudea" w:hAnsi="Gudea"/>
                <w:sz w:val="20"/>
              </w:rPr>
            </w:pPr>
          </w:p>
        </w:tc>
        <w:tc>
          <w:tcPr>
            <w:tcW w:w="1418" w:type="dxa"/>
          </w:tcPr>
          <w:p w14:paraId="3CF3020E" w14:textId="77777777" w:rsidR="004B263B" w:rsidRPr="00C21039" w:rsidRDefault="004B263B" w:rsidP="004B263B">
            <w:pPr>
              <w:jc w:val="both"/>
              <w:rPr>
                <w:rFonts w:ascii="Gudea" w:hAnsi="Gudea"/>
                <w:sz w:val="20"/>
              </w:rPr>
            </w:pPr>
          </w:p>
        </w:tc>
      </w:tr>
      <w:tr w:rsidR="004B263B" w14:paraId="3A1135E0" w14:textId="77777777" w:rsidTr="001A1698">
        <w:trPr>
          <w:trHeight w:val="556"/>
        </w:trPr>
        <w:tc>
          <w:tcPr>
            <w:tcW w:w="14171" w:type="dxa"/>
            <w:gridSpan w:val="6"/>
            <w:shd w:val="clear" w:color="auto" w:fill="98B5C1"/>
            <w:vAlign w:val="center"/>
          </w:tcPr>
          <w:p w14:paraId="67977FDD" w14:textId="77777777" w:rsidR="004B263B" w:rsidRPr="00C21039" w:rsidRDefault="004B263B" w:rsidP="004B263B">
            <w:pPr>
              <w:jc w:val="both"/>
              <w:rPr>
                <w:rFonts w:ascii="Gudea" w:hAnsi="Gudea"/>
                <w:b/>
                <w:color w:val="FFFFFF" w:themeColor="background1"/>
              </w:rPr>
            </w:pPr>
            <w:r w:rsidRPr="00606356">
              <w:rPr>
                <w:rFonts w:ascii="Gudea" w:hAnsi="Gudea"/>
                <w:b/>
                <w:color w:val="0D414E"/>
                <w:sz w:val="26"/>
                <w:szCs w:val="22"/>
              </w:rPr>
              <w:t>3. Ledelsens vederlag</w:t>
            </w:r>
          </w:p>
        </w:tc>
      </w:tr>
      <w:tr w:rsidR="004B263B" w14:paraId="7918A582" w14:textId="77777777" w:rsidTr="001A1698">
        <w:trPr>
          <w:trHeight w:val="1838"/>
        </w:trPr>
        <w:tc>
          <w:tcPr>
            <w:tcW w:w="6232" w:type="dxa"/>
          </w:tcPr>
          <w:p w14:paraId="38330D8F" w14:textId="77777777" w:rsidR="004B263B" w:rsidRPr="001714F8" w:rsidRDefault="004B263B" w:rsidP="004B263B">
            <w:pPr>
              <w:spacing w:line="276" w:lineRule="auto"/>
              <w:jc w:val="both"/>
              <w:rPr>
                <w:rFonts w:ascii="Gudea" w:hAnsi="Gudea"/>
                <w:b/>
                <w:bCs/>
                <w:color w:val="0D414E"/>
                <w:sz w:val="8"/>
                <w:szCs w:val="8"/>
              </w:rPr>
            </w:pPr>
          </w:p>
          <w:p w14:paraId="08CCB54F" w14:textId="77777777" w:rsidR="004B263B" w:rsidRPr="008E0DB4" w:rsidRDefault="004B263B" w:rsidP="004B263B">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414C9E21" w14:textId="64D2DF48" w:rsidR="004B263B" w:rsidRPr="00492DAC" w:rsidRDefault="004B263B" w:rsidP="004B263B">
            <w:pPr>
              <w:spacing w:line="276" w:lineRule="auto"/>
              <w:jc w:val="both"/>
              <w:rPr>
                <w:rFonts w:ascii="Gudea" w:hAnsi="Gudea"/>
                <w:sz w:val="14"/>
                <w:szCs w:val="14"/>
              </w:rPr>
            </w:pPr>
          </w:p>
        </w:tc>
        <w:tc>
          <w:tcPr>
            <w:tcW w:w="1844" w:type="dxa"/>
          </w:tcPr>
          <w:p w14:paraId="335B23F7" w14:textId="77777777" w:rsidR="004B263B" w:rsidRPr="00C21039" w:rsidRDefault="004B263B" w:rsidP="004B263B">
            <w:pPr>
              <w:jc w:val="both"/>
              <w:rPr>
                <w:rFonts w:ascii="Gudea" w:hAnsi="Gudea"/>
                <w:sz w:val="20"/>
              </w:rPr>
            </w:pPr>
          </w:p>
        </w:tc>
        <w:tc>
          <w:tcPr>
            <w:tcW w:w="2409" w:type="dxa"/>
            <w:gridSpan w:val="2"/>
            <w:tcBorders>
              <w:bottom w:val="single" w:sz="4" w:space="0" w:color="auto"/>
              <w:right w:val="single" w:sz="4" w:space="0" w:color="auto"/>
            </w:tcBorders>
          </w:tcPr>
          <w:p w14:paraId="4A7F9B9D" w14:textId="65092ACF" w:rsidR="004B263B" w:rsidRPr="00C21039" w:rsidRDefault="00C53EBB" w:rsidP="00C53EBB">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1C81AA8F" w14:textId="5B2FD95A" w:rsidR="004B263B" w:rsidRPr="00C21039" w:rsidRDefault="00C53EBB" w:rsidP="00C53EBB">
            <w:pPr>
              <w:rPr>
                <w:rFonts w:ascii="Gudea" w:hAnsi="Gudea"/>
                <w:sz w:val="20"/>
              </w:rPr>
            </w:pPr>
            <w:r w:rsidRPr="00C53EBB">
              <w:rPr>
                <w:rFonts w:ascii="Verdana" w:hAnsi="Verdana"/>
                <w:color w:val="000000"/>
                <w:sz w:val="20"/>
              </w:rPr>
              <w:t>Dette har været en fast procedure i 20 år.</w:t>
            </w:r>
          </w:p>
        </w:tc>
        <w:tc>
          <w:tcPr>
            <w:tcW w:w="1418" w:type="dxa"/>
          </w:tcPr>
          <w:p w14:paraId="3578DF3B" w14:textId="77777777" w:rsidR="004B263B" w:rsidRPr="00C21039" w:rsidRDefault="004B263B" w:rsidP="004B263B">
            <w:pPr>
              <w:jc w:val="both"/>
              <w:rPr>
                <w:rFonts w:ascii="Gudea" w:hAnsi="Gudea"/>
                <w:sz w:val="20"/>
              </w:rPr>
            </w:pPr>
          </w:p>
        </w:tc>
      </w:tr>
      <w:tr w:rsidR="007F263A" w14:paraId="51BC7C2C" w14:textId="77777777" w:rsidTr="001A1698">
        <w:trPr>
          <w:trHeight w:val="2961"/>
        </w:trPr>
        <w:tc>
          <w:tcPr>
            <w:tcW w:w="6232" w:type="dxa"/>
          </w:tcPr>
          <w:p w14:paraId="2F97EF35" w14:textId="77777777" w:rsidR="007F263A" w:rsidRPr="00492DAC" w:rsidRDefault="007F263A" w:rsidP="007F263A">
            <w:pPr>
              <w:spacing w:line="276" w:lineRule="auto"/>
              <w:jc w:val="both"/>
              <w:rPr>
                <w:rFonts w:ascii="Gudea" w:hAnsi="Gudea"/>
                <w:b/>
                <w:bCs/>
                <w:color w:val="0D414E"/>
                <w:sz w:val="8"/>
                <w:szCs w:val="8"/>
              </w:rPr>
            </w:pPr>
          </w:p>
          <w:p w14:paraId="5FF9ED5C" w14:textId="77777777" w:rsidR="007F263A" w:rsidRPr="008E0DB4" w:rsidRDefault="007F263A" w:rsidP="007F263A">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Endvidere bør der oplyses om eventuelle andre vederlag, som bestyrelsesmedlemmer og en eventuel direktion modtager for udførelse af andet arbejde eller opgaver for fonden, fondens dattervirksomheder eller associerede virksomheder, bortset fra medarbejderrepræsentanters vederlag som ansatte. </w:t>
            </w:r>
          </w:p>
          <w:p w14:paraId="41926C94" w14:textId="72C08D4E" w:rsidR="007F263A" w:rsidRPr="00492DAC" w:rsidRDefault="007F263A" w:rsidP="007F263A">
            <w:pPr>
              <w:spacing w:line="276" w:lineRule="auto"/>
              <w:jc w:val="both"/>
              <w:rPr>
                <w:rFonts w:ascii="Gudea" w:hAnsi="Gudea"/>
                <w:sz w:val="12"/>
                <w:szCs w:val="12"/>
              </w:rPr>
            </w:pPr>
          </w:p>
        </w:tc>
        <w:tc>
          <w:tcPr>
            <w:tcW w:w="1844" w:type="dxa"/>
          </w:tcPr>
          <w:p w14:paraId="295C4973" w14:textId="77777777" w:rsidR="007F263A" w:rsidRPr="00C21039" w:rsidRDefault="007F263A" w:rsidP="007F263A">
            <w:pPr>
              <w:jc w:val="both"/>
              <w:rPr>
                <w:rFonts w:ascii="Gudea" w:hAnsi="Gudea"/>
                <w:sz w:val="20"/>
              </w:rPr>
            </w:pPr>
          </w:p>
        </w:tc>
        <w:tc>
          <w:tcPr>
            <w:tcW w:w="2409" w:type="dxa"/>
            <w:gridSpan w:val="2"/>
            <w:tcBorders>
              <w:right w:val="single" w:sz="4" w:space="0" w:color="auto"/>
            </w:tcBorders>
          </w:tcPr>
          <w:p w14:paraId="547A98E4" w14:textId="61A85FB9" w:rsidR="007F263A" w:rsidRPr="00C21039" w:rsidRDefault="007F263A" w:rsidP="007F263A">
            <w:pPr>
              <w:rPr>
                <w:rFonts w:ascii="Gudea" w:hAnsi="Gudea"/>
                <w:sz w:val="20"/>
              </w:rPr>
            </w:pPr>
            <w:r>
              <w:rPr>
                <w:rFonts w:ascii="Verdana" w:hAnsi="Verdana"/>
                <w:color w:val="000000"/>
                <w:sz w:val="20"/>
              </w:rPr>
              <w:t>Det er aftalt at der ikke er vederlag forbundet med at være en del af bestyrelsen. Årsagen ligger i, at fondens midler skal gå ubeskåret til tildelinger.</w:t>
            </w:r>
          </w:p>
        </w:tc>
        <w:tc>
          <w:tcPr>
            <w:tcW w:w="2268" w:type="dxa"/>
            <w:tcBorders>
              <w:left w:val="single" w:sz="4" w:space="0" w:color="auto"/>
            </w:tcBorders>
          </w:tcPr>
          <w:p w14:paraId="7E48540B" w14:textId="77777777" w:rsidR="007F263A" w:rsidRPr="00C21039" w:rsidRDefault="007F263A" w:rsidP="007F263A">
            <w:pPr>
              <w:jc w:val="both"/>
              <w:rPr>
                <w:rFonts w:ascii="Gudea" w:hAnsi="Gudea"/>
                <w:sz w:val="20"/>
              </w:rPr>
            </w:pPr>
          </w:p>
        </w:tc>
        <w:tc>
          <w:tcPr>
            <w:tcW w:w="1418" w:type="dxa"/>
          </w:tcPr>
          <w:p w14:paraId="37CD1572" w14:textId="77777777" w:rsidR="007F263A" w:rsidRPr="00C21039" w:rsidRDefault="007F263A" w:rsidP="007F263A">
            <w:pPr>
              <w:jc w:val="both"/>
              <w:rPr>
                <w:rFonts w:ascii="Gudea" w:hAnsi="Gudea"/>
                <w:sz w:val="20"/>
              </w:rPr>
            </w:pPr>
          </w:p>
        </w:tc>
      </w:tr>
    </w:tbl>
    <w:p w14:paraId="46F481F2" w14:textId="77777777" w:rsidR="0050719D" w:rsidRPr="00C21039" w:rsidRDefault="0050719D" w:rsidP="00FB2215">
      <w:pPr>
        <w:jc w:val="both"/>
        <w:rPr>
          <w:rFonts w:ascii="Gudea" w:hAnsi="Gudea"/>
        </w:rPr>
      </w:pPr>
    </w:p>
    <w:sectPr w:rsidR="0050719D" w:rsidRPr="00C21039" w:rsidSect="00BC0B0D">
      <w:footerReference w:type="default" r:id="rId12"/>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14CC" w14:textId="77777777" w:rsidR="00B33071" w:rsidRDefault="00B33071" w:rsidP="00EC76D3">
      <w:r>
        <w:separator/>
      </w:r>
    </w:p>
  </w:endnote>
  <w:endnote w:type="continuationSeparator" w:id="0">
    <w:p w14:paraId="475D05E5" w14:textId="77777777" w:rsidR="00B33071" w:rsidRDefault="00B33071"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817643074"/>
      <w:docPartObj>
        <w:docPartGallery w:val="Page Numbers (Bottom of Page)"/>
        <w:docPartUnique/>
      </w:docPartObj>
    </w:sdtPr>
    <w:sdtEndPr/>
    <w:sdtContent>
      <w:p w14:paraId="34B3B775" w14:textId="103E66A2"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6C669F91" w14:textId="72E845B1"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DFCD" w14:textId="77777777" w:rsidR="00B33071" w:rsidRDefault="00B33071" w:rsidP="00EC76D3">
      <w:r>
        <w:separator/>
      </w:r>
    </w:p>
  </w:footnote>
  <w:footnote w:type="continuationSeparator" w:id="0">
    <w:p w14:paraId="338F2377" w14:textId="77777777" w:rsidR="00B33071" w:rsidRDefault="00B33071" w:rsidP="00EC76D3">
      <w:r>
        <w:continuationSeparator/>
      </w:r>
    </w:p>
  </w:footnote>
  <w:footnote w:id="1">
    <w:p w14:paraId="41EDAEC0"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1238E"/>
    <w:rsid w:val="0003126E"/>
    <w:rsid w:val="0003326F"/>
    <w:rsid w:val="000448D5"/>
    <w:rsid w:val="0005319D"/>
    <w:rsid w:val="0005653A"/>
    <w:rsid w:val="00063BD1"/>
    <w:rsid w:val="000663DA"/>
    <w:rsid w:val="00070C75"/>
    <w:rsid w:val="00077EEC"/>
    <w:rsid w:val="00095ECE"/>
    <w:rsid w:val="000A041F"/>
    <w:rsid w:val="000A7C71"/>
    <w:rsid w:val="000B3878"/>
    <w:rsid w:val="000C5D9C"/>
    <w:rsid w:val="000D0347"/>
    <w:rsid w:val="000D047F"/>
    <w:rsid w:val="000D7A99"/>
    <w:rsid w:val="000E573B"/>
    <w:rsid w:val="000E6A5F"/>
    <w:rsid w:val="000F13C9"/>
    <w:rsid w:val="000F7CF6"/>
    <w:rsid w:val="00101BB1"/>
    <w:rsid w:val="001148A6"/>
    <w:rsid w:val="00140D8A"/>
    <w:rsid w:val="001415E4"/>
    <w:rsid w:val="001427F7"/>
    <w:rsid w:val="00153448"/>
    <w:rsid w:val="001666CD"/>
    <w:rsid w:val="001714F8"/>
    <w:rsid w:val="00172C8A"/>
    <w:rsid w:val="0017524F"/>
    <w:rsid w:val="00181FC9"/>
    <w:rsid w:val="00187F29"/>
    <w:rsid w:val="001915E4"/>
    <w:rsid w:val="00196018"/>
    <w:rsid w:val="001A1698"/>
    <w:rsid w:val="001A3650"/>
    <w:rsid w:val="001A607E"/>
    <w:rsid w:val="001A6130"/>
    <w:rsid w:val="001B4DB6"/>
    <w:rsid w:val="001B7932"/>
    <w:rsid w:val="001C40CB"/>
    <w:rsid w:val="001C6399"/>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32C6"/>
    <w:rsid w:val="00304775"/>
    <w:rsid w:val="00315AAC"/>
    <w:rsid w:val="0032430D"/>
    <w:rsid w:val="00326414"/>
    <w:rsid w:val="00336C37"/>
    <w:rsid w:val="00337CEC"/>
    <w:rsid w:val="00346AD4"/>
    <w:rsid w:val="00346B7D"/>
    <w:rsid w:val="00362722"/>
    <w:rsid w:val="00376067"/>
    <w:rsid w:val="00383A20"/>
    <w:rsid w:val="003A0944"/>
    <w:rsid w:val="003A4B7F"/>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263B"/>
    <w:rsid w:val="004B374E"/>
    <w:rsid w:val="004E2075"/>
    <w:rsid w:val="004E35F7"/>
    <w:rsid w:val="004E678F"/>
    <w:rsid w:val="004E7809"/>
    <w:rsid w:val="004F4274"/>
    <w:rsid w:val="005059DB"/>
    <w:rsid w:val="00506503"/>
    <w:rsid w:val="0050719D"/>
    <w:rsid w:val="00512D55"/>
    <w:rsid w:val="0052273C"/>
    <w:rsid w:val="0052521C"/>
    <w:rsid w:val="00534E62"/>
    <w:rsid w:val="00535490"/>
    <w:rsid w:val="00546FFD"/>
    <w:rsid w:val="00554779"/>
    <w:rsid w:val="00566864"/>
    <w:rsid w:val="005B2433"/>
    <w:rsid w:val="005B6D00"/>
    <w:rsid w:val="005C3C13"/>
    <w:rsid w:val="005C5818"/>
    <w:rsid w:val="005D1AAE"/>
    <w:rsid w:val="005F416B"/>
    <w:rsid w:val="00606356"/>
    <w:rsid w:val="00610B5D"/>
    <w:rsid w:val="00642936"/>
    <w:rsid w:val="006454DF"/>
    <w:rsid w:val="006526E8"/>
    <w:rsid w:val="0065438D"/>
    <w:rsid w:val="0066298A"/>
    <w:rsid w:val="0066637F"/>
    <w:rsid w:val="006759D2"/>
    <w:rsid w:val="006868EC"/>
    <w:rsid w:val="00687235"/>
    <w:rsid w:val="006928BA"/>
    <w:rsid w:val="0069387D"/>
    <w:rsid w:val="006B128A"/>
    <w:rsid w:val="006B2A8E"/>
    <w:rsid w:val="006D5E4D"/>
    <w:rsid w:val="006E355A"/>
    <w:rsid w:val="00703F64"/>
    <w:rsid w:val="00720CD6"/>
    <w:rsid w:val="007427DA"/>
    <w:rsid w:val="00743193"/>
    <w:rsid w:val="00744CAC"/>
    <w:rsid w:val="0074643C"/>
    <w:rsid w:val="00762FF5"/>
    <w:rsid w:val="00765CE8"/>
    <w:rsid w:val="00770B94"/>
    <w:rsid w:val="00790A0C"/>
    <w:rsid w:val="007940E8"/>
    <w:rsid w:val="007B799F"/>
    <w:rsid w:val="007C32A7"/>
    <w:rsid w:val="007D0974"/>
    <w:rsid w:val="007D7779"/>
    <w:rsid w:val="007E2B78"/>
    <w:rsid w:val="007E3D63"/>
    <w:rsid w:val="007E6AB4"/>
    <w:rsid w:val="007F263A"/>
    <w:rsid w:val="007F6400"/>
    <w:rsid w:val="007F6C52"/>
    <w:rsid w:val="007F7522"/>
    <w:rsid w:val="008012E4"/>
    <w:rsid w:val="00802174"/>
    <w:rsid w:val="008447F3"/>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F454B"/>
    <w:rsid w:val="00A026B5"/>
    <w:rsid w:val="00A1001F"/>
    <w:rsid w:val="00A2085B"/>
    <w:rsid w:val="00A25605"/>
    <w:rsid w:val="00A461C8"/>
    <w:rsid w:val="00A51C62"/>
    <w:rsid w:val="00A66696"/>
    <w:rsid w:val="00A82202"/>
    <w:rsid w:val="00A8226B"/>
    <w:rsid w:val="00A86D07"/>
    <w:rsid w:val="00A87660"/>
    <w:rsid w:val="00A9306E"/>
    <w:rsid w:val="00AA6DD7"/>
    <w:rsid w:val="00AB0D87"/>
    <w:rsid w:val="00AE72B4"/>
    <w:rsid w:val="00AF0062"/>
    <w:rsid w:val="00AF5A6C"/>
    <w:rsid w:val="00AF704C"/>
    <w:rsid w:val="00AF7BE0"/>
    <w:rsid w:val="00B0561F"/>
    <w:rsid w:val="00B33071"/>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BF519D"/>
    <w:rsid w:val="00C049CF"/>
    <w:rsid w:val="00C13078"/>
    <w:rsid w:val="00C16FAC"/>
    <w:rsid w:val="00C21039"/>
    <w:rsid w:val="00C31BF1"/>
    <w:rsid w:val="00C33052"/>
    <w:rsid w:val="00C53BC3"/>
    <w:rsid w:val="00C53EBB"/>
    <w:rsid w:val="00C56BAC"/>
    <w:rsid w:val="00C628A6"/>
    <w:rsid w:val="00C83976"/>
    <w:rsid w:val="00C925E0"/>
    <w:rsid w:val="00CB150F"/>
    <w:rsid w:val="00CC1DF5"/>
    <w:rsid w:val="00CC232B"/>
    <w:rsid w:val="00CC3FCE"/>
    <w:rsid w:val="00CC6FFA"/>
    <w:rsid w:val="00CE2C74"/>
    <w:rsid w:val="00CF2FE7"/>
    <w:rsid w:val="00D04826"/>
    <w:rsid w:val="00D125F6"/>
    <w:rsid w:val="00D17011"/>
    <w:rsid w:val="00D20E75"/>
    <w:rsid w:val="00D23C46"/>
    <w:rsid w:val="00D55D45"/>
    <w:rsid w:val="00D57CF1"/>
    <w:rsid w:val="00D60E80"/>
    <w:rsid w:val="00D674D9"/>
    <w:rsid w:val="00D74400"/>
    <w:rsid w:val="00D81459"/>
    <w:rsid w:val="00D815E8"/>
    <w:rsid w:val="00D9209B"/>
    <w:rsid w:val="00D93970"/>
    <w:rsid w:val="00DA041F"/>
    <w:rsid w:val="00DA712E"/>
    <w:rsid w:val="00DB01A7"/>
    <w:rsid w:val="00DB4B62"/>
    <w:rsid w:val="00DC6336"/>
    <w:rsid w:val="00DE1EF2"/>
    <w:rsid w:val="00DE5365"/>
    <w:rsid w:val="00DF52AB"/>
    <w:rsid w:val="00DF7479"/>
    <w:rsid w:val="00DF7A63"/>
    <w:rsid w:val="00E07F56"/>
    <w:rsid w:val="00E1349A"/>
    <w:rsid w:val="00E2045B"/>
    <w:rsid w:val="00E26E0A"/>
    <w:rsid w:val="00E318DC"/>
    <w:rsid w:val="00E34B70"/>
    <w:rsid w:val="00E370A4"/>
    <w:rsid w:val="00E44D33"/>
    <w:rsid w:val="00E508DD"/>
    <w:rsid w:val="00E659FA"/>
    <w:rsid w:val="00E71199"/>
    <w:rsid w:val="00E74BAE"/>
    <w:rsid w:val="00E821D3"/>
    <w:rsid w:val="00E906AB"/>
    <w:rsid w:val="00E920B0"/>
    <w:rsid w:val="00E92794"/>
    <w:rsid w:val="00EA26F2"/>
    <w:rsid w:val="00EA45B1"/>
    <w:rsid w:val="00EB7517"/>
    <w:rsid w:val="00EC6123"/>
    <w:rsid w:val="00EC76D3"/>
    <w:rsid w:val="00EF3CD1"/>
    <w:rsid w:val="00F00323"/>
    <w:rsid w:val="00F04D66"/>
    <w:rsid w:val="00F263CE"/>
    <w:rsid w:val="00F31B91"/>
    <w:rsid w:val="00F710F5"/>
    <w:rsid w:val="00F7224F"/>
    <w:rsid w:val="00F74A25"/>
    <w:rsid w:val="00F75F8E"/>
    <w:rsid w:val="00FA083F"/>
    <w:rsid w:val="00FA2FA9"/>
    <w:rsid w:val="00FB2215"/>
    <w:rsid w:val="00FD08C9"/>
    <w:rsid w:val="00FE028D"/>
    <w:rsid w:val="00FE2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CDEC18"/>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dfondsledelse.d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6" ma:contentTypeDescription="Opret et nyt dokument." ma:contentTypeScope="" ma:versionID="dacedb511245a465d65ae3296c37e7f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b1f701788a6fb8e5e2ac6c41721626c7"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f00a232f-cc08-489f-a25e-3e21eea59c29}"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3989A-A2FC-4193-9AB9-5C8BD58C5210}">
  <ds:schemaRefs>
    <ds:schemaRef ds:uri="http://schemas.microsoft.com/sharepoint/v3/contenttype/forms"/>
  </ds:schemaRefs>
</ds:datastoreItem>
</file>

<file path=customXml/itemProps2.xml><?xml version="1.0" encoding="utf-8"?>
<ds:datastoreItem xmlns:ds="http://schemas.openxmlformats.org/officeDocument/2006/customXml" ds:itemID="{31AB2E46-3C9F-4DA6-9228-1CCDA13B86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8CEF4F-4503-4AE8-AE50-823E41E5F8E0}">
  <ds:schemaRefs>
    <ds:schemaRef ds:uri="http://schemas.openxmlformats.org/officeDocument/2006/bibliography"/>
  </ds:schemaRefs>
</ds:datastoreItem>
</file>

<file path=customXml/itemProps4.xml><?xml version="1.0" encoding="utf-8"?>
<ds:datastoreItem xmlns:ds="http://schemas.openxmlformats.org/officeDocument/2006/customXml" ds:itemID="{732851D4-82B2-42B5-93D8-8B25A03011C5}"/>
</file>

<file path=docProps/app.xml><?xml version="1.0" encoding="utf-8"?>
<Properties xmlns="http://schemas.openxmlformats.org/officeDocument/2006/extended-properties" xmlns:vt="http://schemas.openxmlformats.org/officeDocument/2006/docPropsVTypes">
  <Template>Normal</Template>
  <TotalTime>1</TotalTime>
  <Pages>15</Pages>
  <Words>1662</Words>
  <Characters>10488</Characters>
  <Application>Microsoft Office Word</Application>
  <DocSecurity>0</DocSecurity>
  <Lines>388</Lines>
  <Paragraphs>102</Paragraphs>
  <ScaleCrop>false</ScaleCrop>
  <HeadingPairs>
    <vt:vector size="2" baseType="variant">
      <vt:variant>
        <vt:lpstr>Titel</vt:lpstr>
      </vt:variant>
      <vt:variant>
        <vt:i4>1</vt:i4>
      </vt:variant>
    </vt:vector>
  </HeadingPairs>
  <TitlesOfParts>
    <vt:vector size="1" baseType="lpstr">
      <vt:lpstr>Skema til redegørelse for stillingstagen til anbefalingerne</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stillingstagen til anbefalingerne</dc:title>
  <dc:subject/>
  <dc:creator>Komitéen for god Fondsledelse</dc:creator>
  <cp:keywords/>
  <dc:description/>
  <cp:lastModifiedBy>Steffen Wich</cp:lastModifiedBy>
  <cp:revision>2</cp:revision>
  <cp:lastPrinted>2022-05-09T07:43:00Z</cp:lastPrinted>
  <dcterms:created xsi:type="dcterms:W3CDTF">2022-05-09T07:59:00Z</dcterms:created>
  <dcterms:modified xsi:type="dcterms:W3CDTF">2022-05-09T07:59:00Z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SIP_Label_ea60d57e-af5b-4752-ac57-3e4f28ca11dc_Enabled">
    <vt:lpwstr>true</vt:lpwstr>
  </property>
  <property fmtid="{D5CDD505-2E9C-101B-9397-08002B2CF9AE}" pid="4" name="MSIP_Label_ea60d57e-af5b-4752-ac57-3e4f28ca11dc_SetDate">
    <vt:lpwstr>2022-04-29T12:26:54Z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78a66534-4c5e-444e-9179-ef4c09cdb2f8</vt:lpwstr>
  </property>
  <property fmtid="{D5CDD505-2E9C-101B-9397-08002B2CF9AE}" pid="9" name="MSIP_Label_ea60d57e-af5b-4752-ac57-3e4f28ca11dc_ContentBits">
    <vt:lpwstr>0</vt:lpwstr>
  </property>
</Properties>
</file>